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黑体" w:hAnsi="黑体" w:eastAsia="黑体" w:cs="黑体"/>
          <w:b/>
          <w:color w:val="262626"/>
          <w:spacing w:val="20"/>
          <w:kern w:val="0"/>
          <w:sz w:val="21"/>
          <w:szCs w:val="21"/>
        </w:rPr>
      </w:pPr>
    </w:p>
    <w:p>
      <w:pPr>
        <w:widowControl/>
        <w:jc w:val="center"/>
        <w:rPr>
          <w:rFonts w:hint="eastAsia" w:ascii="黑体" w:hAnsi="黑体" w:eastAsia="黑体" w:cs="黑体"/>
          <w:b/>
          <w:color w:val="262626"/>
          <w:spacing w:val="20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color w:val="262626"/>
          <w:spacing w:val="20"/>
          <w:kern w:val="0"/>
          <w:sz w:val="21"/>
          <w:szCs w:val="21"/>
          <w:lang w:eastAsia="zh-CN"/>
        </w:rPr>
        <w:t>信通理财</w:t>
      </w:r>
      <w:r>
        <w:rPr>
          <w:rFonts w:hint="eastAsia" w:ascii="黑体" w:hAnsi="黑体" w:eastAsia="黑体" w:cs="黑体"/>
          <w:b/>
          <w:color w:val="262626"/>
          <w:spacing w:val="20"/>
          <w:kern w:val="0"/>
          <w:sz w:val="21"/>
          <w:szCs w:val="21"/>
          <w:lang w:val="en-US" w:eastAsia="zh-CN"/>
        </w:rPr>
        <w:t>-</w:t>
      </w:r>
      <w:r>
        <w:rPr>
          <w:rFonts w:hint="eastAsia" w:ascii="黑体" w:hAnsi="黑体" w:eastAsia="黑体" w:cs="黑体"/>
          <w:b/>
          <w:color w:val="262626"/>
          <w:spacing w:val="20"/>
          <w:kern w:val="0"/>
          <w:sz w:val="21"/>
          <w:szCs w:val="21"/>
        </w:rPr>
        <w:t>圳元金</w:t>
      </w:r>
      <w:r>
        <w:rPr>
          <w:rFonts w:hint="eastAsia" w:ascii="黑体" w:hAnsi="黑体" w:eastAsia="黑体" w:cs="黑体"/>
          <w:b/>
          <w:color w:val="262626"/>
          <w:spacing w:val="20"/>
          <w:kern w:val="0"/>
          <w:sz w:val="21"/>
          <w:szCs w:val="21"/>
          <w:lang w:val="en-US" w:eastAsia="zh-CN"/>
        </w:rPr>
        <w:t>月</w:t>
      </w:r>
      <w:r>
        <w:rPr>
          <w:rFonts w:hint="eastAsia" w:ascii="黑体" w:hAnsi="黑体" w:eastAsia="黑体" w:cs="黑体"/>
          <w:b/>
          <w:color w:val="262626"/>
          <w:spacing w:val="20"/>
          <w:kern w:val="0"/>
          <w:sz w:val="21"/>
          <w:szCs w:val="21"/>
          <w:lang w:eastAsia="zh-CN"/>
        </w:rPr>
        <w:t>月盈理财产品</w:t>
      </w:r>
      <w:r>
        <w:rPr>
          <w:rFonts w:hint="eastAsia" w:ascii="黑体" w:hAnsi="黑体" w:eastAsia="黑体" w:cs="黑体"/>
          <w:b/>
          <w:color w:val="262626"/>
          <w:spacing w:val="20"/>
          <w:kern w:val="0"/>
          <w:sz w:val="21"/>
          <w:szCs w:val="21"/>
          <w:lang w:val="en-US" w:eastAsia="zh-CN"/>
        </w:rPr>
        <w:t>4</w:t>
      </w:r>
      <w:r>
        <w:rPr>
          <w:rFonts w:hint="eastAsia" w:ascii="黑体" w:hAnsi="黑体" w:eastAsia="黑体" w:cs="宋体"/>
          <w:b/>
          <w:color w:val="262626"/>
          <w:spacing w:val="20"/>
          <w:kern w:val="0"/>
          <w:szCs w:val="21"/>
          <w:lang w:val="en-US" w:eastAsia="zh-CN"/>
        </w:rPr>
        <w:t>业绩比较基准调整公告</w:t>
      </w:r>
    </w:p>
    <w:p>
      <w:pPr>
        <w:widowControl/>
        <w:jc w:val="center"/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</w:pPr>
    </w:p>
    <w:p>
      <w:pPr>
        <w:widowControl/>
        <w:jc w:val="left"/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尊敬的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投资者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根据目前市场利率变动及资金运作情况，本行计划调整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信通理财-圳元金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  <w:lang w:val="en-US" w:eastAsia="zh-CN"/>
        </w:rPr>
        <w:t>月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  <w:lang w:eastAsia="zh-CN"/>
        </w:rPr>
        <w:t>月盈理财产品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color w:val="262626"/>
          <w:spacing w:val="20"/>
          <w:kern w:val="0"/>
          <w:szCs w:val="21"/>
          <w:lang w:val="en-US" w:eastAsia="zh-CN"/>
        </w:rPr>
        <w:t>（产品登记编码：C1109621000056、产品编号：ZYJ800304）的业绩比较基准，敬请知悉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。</w:t>
      </w:r>
    </w:p>
    <w:tbl>
      <w:tblPr>
        <w:tblStyle w:val="2"/>
        <w:tblW w:w="832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7"/>
        <w:gridCol w:w="2364"/>
        <w:gridCol w:w="1452"/>
        <w:gridCol w:w="1416"/>
        <w:gridCol w:w="194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6" w:hRule="atLeast"/>
        </w:trPr>
        <w:tc>
          <w:tcPr>
            <w:tcW w:w="114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产品编号</w:t>
            </w:r>
          </w:p>
        </w:tc>
        <w:tc>
          <w:tcPr>
            <w:tcW w:w="236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产品名称</w:t>
            </w:r>
          </w:p>
        </w:tc>
        <w:tc>
          <w:tcPr>
            <w:tcW w:w="145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调整前业绩比较基准</w:t>
            </w:r>
          </w:p>
        </w:tc>
        <w:tc>
          <w:tcPr>
            <w:tcW w:w="141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调整后业绩比较基准</w:t>
            </w:r>
          </w:p>
        </w:tc>
        <w:tc>
          <w:tcPr>
            <w:tcW w:w="1944" w:type="dxa"/>
            <w:tcBorders>
              <w:tl2br w:val="nil"/>
              <w:tr2bl w:val="nil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调整生效日期（含）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114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Cs w:val="21"/>
                <w:lang w:val="en-US"/>
              </w:rPr>
            </w:pP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Cs w:val="21"/>
                <w:lang w:val="en-US" w:eastAsia="zh-CN"/>
              </w:rPr>
              <w:t>ZYJ800304</w:t>
            </w:r>
          </w:p>
        </w:tc>
        <w:tc>
          <w:tcPr>
            <w:tcW w:w="236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 w:val="21"/>
                <w:szCs w:val="21"/>
              </w:rPr>
              <w:t>信通理财-圳元金</w:t>
            </w: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 w:val="21"/>
                <w:szCs w:val="21"/>
                <w:lang w:val="en-US" w:eastAsia="zh-CN"/>
              </w:rPr>
              <w:t>月</w:t>
            </w: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 w:val="21"/>
                <w:szCs w:val="21"/>
                <w:lang w:eastAsia="zh-CN"/>
              </w:rPr>
              <w:t>月盈理财产品</w:t>
            </w: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45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Cs w:val="21"/>
                <w:lang w:val="en-US" w:eastAsia="zh-CN"/>
              </w:rPr>
              <w:t>1.50%-2.45%</w:t>
            </w:r>
          </w:p>
        </w:tc>
        <w:tc>
          <w:tcPr>
            <w:tcW w:w="141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Cs w:val="21"/>
                <w:lang w:val="en-US" w:eastAsia="zh-CN"/>
              </w:rPr>
              <w:t>1.20%-2.45%</w:t>
            </w:r>
          </w:p>
        </w:tc>
        <w:tc>
          <w:tcPr>
            <w:tcW w:w="194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20260903</w:t>
            </w:r>
          </w:p>
        </w:tc>
      </w:tr>
    </w:tbl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业绩比较基准为产品管理人依据理财产品的投资范围、投资策略、资产配置计划，并综合考虑市场环境等因素测算。</w:t>
      </w:r>
      <w:bookmarkStart w:id="0" w:name="_GoBack"/>
      <w:bookmarkEnd w:id="0"/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业绩比较基准为本行基于产品性质、投资策略、过往经验等因素对产品设定的投资目标。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2" w:firstLineChars="200"/>
        <w:jc w:val="both"/>
        <w:textAlignment w:val="auto"/>
        <w:rPr>
          <w:rFonts w:hint="eastAsia" w:ascii="黑体" w:hAnsi="黑体" w:eastAsia="黑体" w:cs="黑体"/>
          <w:b/>
          <w:bCs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b/>
          <w:bCs/>
          <w:color w:val="262626"/>
          <w:spacing w:val="20"/>
          <w:kern w:val="0"/>
          <w:szCs w:val="21"/>
        </w:rPr>
        <w:t>业绩比较基准不是预期收益率，不代表产品的未来表现和实际收益，不构成对产品收益的承诺，投资须谨慎。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本产品其他信息仍以销售文件约定为准，您可通过约定的信息披露渠道查询最新销售文件。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感谢您一直以来对深圳农村商业银行股份有限公司的支持。敬请您继续关注深圳农村商业银行股份有限公司的其他理财产品。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特此公告。</w:t>
      </w:r>
    </w:p>
    <w:p>
      <w:pPr>
        <w:widowControl/>
        <w:spacing w:before="150" w:after="150" w:line="375" w:lineRule="atLeast"/>
        <w:ind w:firstLine="480"/>
        <w:jc w:val="right"/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before="150" w:after="150" w:line="375" w:lineRule="atLeast"/>
        <w:ind w:firstLine="480"/>
        <w:jc w:val="right"/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20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  <w:lang w:val="en-US" w:eastAsia="zh-CN"/>
        </w:rPr>
        <w:t>26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  <w:lang w:val="en-US" w:eastAsia="zh-CN"/>
        </w:rPr>
        <w:t>8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日</w:t>
      </w:r>
    </w:p>
    <w:p>
      <w:pPr>
        <w:rPr>
          <w:rFonts w:hint="eastAsia" w:ascii="黑体" w:hAnsi="黑体" w:eastAsia="黑体" w:cs="黑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CADC43"/>
    <w:multiLevelType w:val="multilevel"/>
    <w:tmpl w:val="7DCADC43"/>
    <w:lvl w:ilvl="0" w:tentative="0">
      <w:start w:val="1"/>
      <w:numFmt w:val="chineseCounting"/>
      <w:pStyle w:val="5"/>
      <w:suff w:val="space"/>
      <w:lvlText w:val="第%1条"/>
      <w:lvlJc w:val="left"/>
      <w:pPr>
        <w:tabs>
          <w:tab w:val="left" w:pos="420"/>
        </w:tabs>
        <w:ind w:left="3114" w:hanging="420"/>
      </w:pPr>
      <w:rPr>
        <w:rFonts w:hint="eastAsia" w:ascii="仿宋_GB2312" w:hAnsi="仿宋_GB2312" w:eastAsia="仿宋_GB2312"/>
        <w:b/>
        <w:sz w:val="32"/>
        <w:szCs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A9E"/>
    <w:rsid w:val="00084E2A"/>
    <w:rsid w:val="00870A9E"/>
    <w:rsid w:val="00EF2F1E"/>
    <w:rsid w:val="02370F27"/>
    <w:rsid w:val="07772AA7"/>
    <w:rsid w:val="0A6C4F28"/>
    <w:rsid w:val="0D7B27E6"/>
    <w:rsid w:val="16D93D19"/>
    <w:rsid w:val="17055252"/>
    <w:rsid w:val="18D47367"/>
    <w:rsid w:val="19314A6E"/>
    <w:rsid w:val="1D4222B5"/>
    <w:rsid w:val="1FB50BE4"/>
    <w:rsid w:val="214C1ECD"/>
    <w:rsid w:val="21894437"/>
    <w:rsid w:val="223733C9"/>
    <w:rsid w:val="2420712B"/>
    <w:rsid w:val="25D23DF2"/>
    <w:rsid w:val="2B6F238F"/>
    <w:rsid w:val="30D3712B"/>
    <w:rsid w:val="339A6EF0"/>
    <w:rsid w:val="38281E18"/>
    <w:rsid w:val="3875442B"/>
    <w:rsid w:val="39600F85"/>
    <w:rsid w:val="3AC70649"/>
    <w:rsid w:val="3B865E58"/>
    <w:rsid w:val="3EF250F7"/>
    <w:rsid w:val="453B0F60"/>
    <w:rsid w:val="46D349F2"/>
    <w:rsid w:val="482D44B8"/>
    <w:rsid w:val="4B364656"/>
    <w:rsid w:val="4C5863D2"/>
    <w:rsid w:val="51EE0302"/>
    <w:rsid w:val="5299784E"/>
    <w:rsid w:val="541B38CD"/>
    <w:rsid w:val="5BCC6615"/>
    <w:rsid w:val="65940810"/>
    <w:rsid w:val="66492FA1"/>
    <w:rsid w:val="683B4AF2"/>
    <w:rsid w:val="687F3225"/>
    <w:rsid w:val="69CD29D8"/>
    <w:rsid w:val="6B5B6494"/>
    <w:rsid w:val="6C89676B"/>
    <w:rsid w:val="6DD34209"/>
    <w:rsid w:val="6DFC2838"/>
    <w:rsid w:val="6E551173"/>
    <w:rsid w:val="719244F3"/>
    <w:rsid w:val="784E5B86"/>
    <w:rsid w:val="798604AD"/>
    <w:rsid w:val="7AD106F4"/>
    <w:rsid w:val="7BFF623F"/>
    <w:rsid w:val="7D5511CD"/>
    <w:rsid w:val="7E747D14"/>
    <w:rsid w:val="7E86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  <w:bCs/>
    </w:rPr>
  </w:style>
  <w:style w:type="paragraph" w:customStyle="1" w:styleId="5">
    <w:name w:val="条段落"/>
    <w:basedOn w:val="1"/>
    <w:qFormat/>
    <w:uiPriority w:val="0"/>
    <w:pPr>
      <w:numPr>
        <w:ilvl w:val="0"/>
        <w:numId w:val="1"/>
      </w:numPr>
      <w:ind w:left="0" w:firstLine="640"/>
    </w:pPr>
    <w:rPr>
      <w:rFonts w:ascii="宋体"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4200"/>
      </a:dk1>
      <a:lt1>
        <a:sysClr val="window" lastClr="DBFDE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</Words>
  <Characters>297</Characters>
  <Lines>2</Lines>
  <Paragraphs>1</Paragraphs>
  <TotalTime>0</TotalTime>
  <ScaleCrop>false</ScaleCrop>
  <LinksUpToDate>false</LinksUpToDate>
  <CharactersWithSpaces>348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2019-10-17T06:56:00Z</dcterms:created>
  <dc:creator>Lenovo</dc:creator>
  <cp:lastModifiedBy>penglujia</cp:lastModifiedBy>
  <cp:lastPrinted>2023-04-12T00:39:00Z</cp:lastPrinted>
  <dcterms:modified xsi:type="dcterms:W3CDTF">2026-08-18T09:16:11Z</dcterms:modified>
  <dc:title>关于调整圳元金月月盈理财产品4业绩比较基准的公告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752119D49827426DAC3B76AE85E16061</vt:lpwstr>
  </property>
</Properties>
</file>