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黑体" w:hAnsi="黑体" w:eastAsia="黑体" w:cs="黑体"/>
          <w:sz w:val="21"/>
          <w:szCs w:val="21"/>
          <w:highlight w:val="none"/>
          <w:u w:val="none"/>
          <w:lang w:val="en-US" w:eastAsia="zh-CN"/>
        </w:rPr>
        <w:t>信通理财-圳元金六月盈理财产品11业绩比较基准调整公告</w:t>
      </w:r>
    </w:p>
    <w:p>
      <w:pPr>
        <w:pStyle w:val="6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-269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  <w:rPr>
          <w:rFonts w:hint="eastAsia" w:ascii="黑体" w:hAnsi="黑体" w:eastAsia="黑体" w:cs="黑体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黑体" w:hAnsi="黑体" w:eastAsia="黑体" w:cs="黑体"/>
          <w:sz w:val="21"/>
          <w:szCs w:val="21"/>
          <w:highlight w:val="none"/>
          <w:u w:val="none"/>
          <w:lang w:val="en-US" w:eastAsia="zh-CN"/>
        </w:rPr>
        <w:t>尊敬的投资者：</w:t>
      </w:r>
    </w:p>
    <w:p>
      <w:pPr>
        <w:pStyle w:val="6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-269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rPr>
          <w:rFonts w:hint="eastAsia" w:ascii="黑体" w:hAnsi="黑体" w:eastAsia="黑体" w:cs="黑体"/>
          <w:sz w:val="21"/>
          <w:szCs w:val="21"/>
          <w:lang w:val="en-US" w:eastAsia="zh-CN"/>
        </w:rPr>
      </w:pPr>
      <w:r>
        <w:rPr>
          <w:rFonts w:hint="eastAsia" w:ascii="黑体" w:hAnsi="黑体" w:eastAsia="黑体" w:cs="黑体"/>
          <w:sz w:val="21"/>
          <w:szCs w:val="21"/>
          <w:lang w:val="en-US" w:eastAsia="zh-CN"/>
        </w:rPr>
        <w:t>根据目前市场利率变动及资金运作情况，本行计划调整</w:t>
      </w:r>
      <w:r>
        <w:rPr>
          <w:rFonts w:hint="eastAsia" w:ascii="黑体" w:hAnsi="黑体" w:eastAsia="黑体" w:cs="黑体"/>
          <w:sz w:val="21"/>
          <w:szCs w:val="21"/>
        </w:rPr>
        <w:t>信通理财-圳元金六月盈理财产品</w:t>
      </w:r>
      <w:r>
        <w:rPr>
          <w:rFonts w:hint="eastAsia" w:ascii="黑体" w:hAnsi="黑体" w:eastAsia="黑体" w:cs="黑体"/>
          <w:sz w:val="21"/>
          <w:szCs w:val="21"/>
          <w:lang w:val="en-US" w:eastAsia="zh-CN"/>
        </w:rPr>
        <w:t>11（产品登记编码：</w:t>
      </w:r>
      <w:r>
        <w:rPr>
          <w:rFonts w:hint="eastAsia" w:ascii="黑体" w:hAnsi="黑体" w:eastAsia="黑体" w:cs="黑体"/>
          <w:sz w:val="21"/>
          <w:szCs w:val="21"/>
          <w:highlight w:val="none"/>
          <w:u w:val="none"/>
          <w:lang w:val="en-US" w:eastAsia="zh-CN"/>
        </w:rPr>
        <w:t>C1109621000020</w:t>
      </w:r>
      <w:r>
        <w:rPr>
          <w:rFonts w:hint="eastAsia" w:ascii="黑体" w:hAnsi="黑体" w:eastAsia="黑体" w:cs="黑体"/>
          <w:sz w:val="21"/>
          <w:szCs w:val="21"/>
          <w:lang w:val="en-US" w:eastAsia="zh-CN"/>
        </w:rPr>
        <w:t>、产品编号：</w:t>
      </w:r>
      <w:r>
        <w:rPr>
          <w:rFonts w:hint="eastAsia" w:ascii="黑体" w:hAnsi="黑体" w:eastAsia="黑体" w:cs="黑体"/>
          <w:sz w:val="21"/>
          <w:szCs w:val="21"/>
        </w:rPr>
        <w:t>ZYJ8006</w:t>
      </w:r>
      <w:r>
        <w:rPr>
          <w:rFonts w:hint="eastAsia" w:ascii="黑体" w:hAnsi="黑体" w:eastAsia="黑体" w:cs="黑体"/>
          <w:sz w:val="21"/>
          <w:szCs w:val="21"/>
          <w:lang w:val="en-US" w:eastAsia="zh-CN"/>
        </w:rPr>
        <w:t>11）的业绩比较基准，敬请知悉。</w:t>
      </w:r>
    </w:p>
    <w:tbl>
      <w:tblPr>
        <w:tblStyle w:val="3"/>
        <w:tblW w:w="9126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outset" w:color="auto" w:sz="6" w:space="0"/>
          <w:insideV w:val="outset" w:color="auto" w:sz="6" w:space="0"/>
        </w:tblBorders>
        <w:shd w:val="clear" w:color="auto" w:fill="auto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18"/>
        <w:gridCol w:w="2780"/>
        <w:gridCol w:w="1820"/>
        <w:gridCol w:w="1801"/>
        <w:gridCol w:w="1507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121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-269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highlight w:val="none"/>
                <w:lang w:val="en-US" w:eastAsia="zh-CN"/>
              </w:rPr>
              <w:t>产品编号</w:t>
            </w:r>
          </w:p>
        </w:tc>
        <w:tc>
          <w:tcPr>
            <w:tcW w:w="27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-269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highlight w:val="none"/>
                <w:lang w:val="en-US" w:eastAsia="zh-CN"/>
              </w:rPr>
              <w:t>产品名称</w:t>
            </w:r>
          </w:p>
        </w:tc>
        <w:tc>
          <w:tcPr>
            <w:tcW w:w="18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-269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highlight w:val="none"/>
                <w:lang w:val="en-US" w:eastAsia="zh-CN"/>
              </w:rPr>
              <w:t>调整前业绩</w:t>
            </w:r>
          </w:p>
          <w:p>
            <w:pPr>
              <w:pStyle w:val="6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-269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highlight w:val="none"/>
                <w:lang w:val="en-US" w:eastAsia="zh-CN"/>
              </w:rPr>
              <w:t>比较基准</w:t>
            </w:r>
          </w:p>
        </w:tc>
        <w:tc>
          <w:tcPr>
            <w:tcW w:w="180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-269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highlight w:val="none"/>
                <w:lang w:val="en-US" w:eastAsia="zh-CN"/>
              </w:rPr>
              <w:t>调整后业绩</w:t>
            </w:r>
          </w:p>
          <w:p>
            <w:pPr>
              <w:pStyle w:val="6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-269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highlight w:val="none"/>
                <w:lang w:val="en-US" w:eastAsia="zh-CN"/>
              </w:rPr>
              <w:t>比较基准</w:t>
            </w:r>
          </w:p>
        </w:tc>
        <w:tc>
          <w:tcPr>
            <w:tcW w:w="15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-269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highlight w:val="none"/>
                <w:lang w:val="en-US" w:eastAsia="zh-CN"/>
              </w:rPr>
              <w:t>调整生效日期</w:t>
            </w:r>
          </w:p>
          <w:p>
            <w:pPr>
              <w:pStyle w:val="6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-269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highlight w:val="none"/>
                <w:lang w:val="en-US" w:eastAsia="zh-CN"/>
              </w:rPr>
              <w:t>（含）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1218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hint="default" w:ascii="黑体" w:hAnsi="黑体" w:eastAsia="黑体" w:cs="黑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kern w:val="0"/>
                <w:sz w:val="21"/>
                <w:szCs w:val="21"/>
                <w:u w:val="none"/>
              </w:rPr>
              <w:t>ZYJ8006</w:t>
            </w:r>
            <w:r>
              <w:rPr>
                <w:rFonts w:hint="eastAsia" w:ascii="黑体" w:hAnsi="黑体" w:eastAsia="黑体" w:cs="黑体"/>
                <w:kern w:val="0"/>
                <w:sz w:val="21"/>
                <w:szCs w:val="21"/>
                <w:u w:val="none"/>
                <w:lang w:val="en-US" w:eastAsia="zh-CN"/>
              </w:rPr>
              <w:t>11</w:t>
            </w:r>
          </w:p>
        </w:tc>
        <w:tc>
          <w:tcPr>
            <w:tcW w:w="278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hint="default" w:ascii="黑体" w:hAnsi="黑体" w:eastAsia="黑体" w:cs="黑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spacing w:val="20"/>
                <w:kern w:val="0"/>
                <w:szCs w:val="21"/>
              </w:rPr>
              <w:t>信通理财-圳元金六月盈理财产品</w:t>
            </w:r>
            <w:r>
              <w:rPr>
                <w:rFonts w:hint="eastAsia" w:ascii="黑体" w:hAnsi="黑体" w:eastAsia="黑体" w:cs="黑体"/>
                <w:color w:val="auto"/>
                <w:spacing w:val="20"/>
                <w:kern w:val="0"/>
                <w:szCs w:val="21"/>
                <w:lang w:val="en-US" w:eastAsia="zh-CN"/>
              </w:rPr>
              <w:t>11</w:t>
            </w:r>
          </w:p>
        </w:tc>
        <w:tc>
          <w:tcPr>
            <w:tcW w:w="182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hint="default" w:ascii="黑体" w:hAnsi="黑体" w:eastAsia="黑体" w:cs="黑体"/>
                <w:color w:val="auto"/>
                <w:spacing w:val="2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262626"/>
                <w:spacing w:val="20"/>
                <w:kern w:val="0"/>
                <w:szCs w:val="21"/>
                <w:lang w:val="en-US" w:eastAsia="zh-CN"/>
              </w:rPr>
              <w:t>2.05%-2.90%</w:t>
            </w:r>
          </w:p>
        </w:tc>
        <w:tc>
          <w:tcPr>
            <w:tcW w:w="1801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hint="eastAsia" w:ascii="黑体" w:hAnsi="黑体" w:eastAsia="黑体" w:cs="黑体"/>
                <w:color w:val="auto"/>
                <w:spacing w:val="2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auto"/>
                <w:spacing w:val="20"/>
                <w:kern w:val="0"/>
                <w:szCs w:val="21"/>
                <w:lang w:val="en-US" w:eastAsia="zh-CN"/>
              </w:rPr>
              <w:t>1.60%-2.80%</w:t>
            </w:r>
          </w:p>
        </w:tc>
        <w:tc>
          <w:tcPr>
            <w:tcW w:w="150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hint="default" w:ascii="黑体" w:hAnsi="黑体" w:eastAsia="黑体" w:cs="黑体"/>
                <w:color w:val="auto"/>
                <w:spacing w:val="2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auto"/>
                <w:spacing w:val="20"/>
                <w:kern w:val="0"/>
                <w:szCs w:val="21"/>
                <w:lang w:val="en-US" w:eastAsia="zh-CN"/>
              </w:rPr>
              <w:t>20261016</w:t>
            </w:r>
          </w:p>
        </w:tc>
      </w:tr>
    </w:tbl>
    <w:p>
      <w:pPr>
        <w:pStyle w:val="6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-269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rPr>
          <w:rFonts w:hint="eastAsia" w:ascii="黑体" w:hAnsi="黑体" w:eastAsia="黑体" w:cs="黑体"/>
          <w:sz w:val="21"/>
          <w:szCs w:val="21"/>
          <w:lang w:eastAsia="zh-CN"/>
        </w:rPr>
      </w:pPr>
      <w:r>
        <w:rPr>
          <w:rFonts w:hint="eastAsia" w:ascii="黑体" w:hAnsi="黑体" w:eastAsia="黑体" w:cs="黑体"/>
          <w:sz w:val="21"/>
          <w:szCs w:val="21"/>
        </w:rPr>
        <w:t>业绩比较基准为产品管理人依据理财产品的投资范围、投资策略、资产配置计划，并综合考虑市场环境等因素测算。业绩比较基准为本行基于产品性质、投资策略、过往经验等因素对产品设定的投资目标</w:t>
      </w:r>
      <w:r>
        <w:rPr>
          <w:rFonts w:hint="eastAsia" w:ascii="黑体" w:hAnsi="黑体" w:eastAsia="黑体" w:cs="黑体"/>
          <w:sz w:val="21"/>
          <w:szCs w:val="21"/>
          <w:lang w:eastAsia="zh-CN"/>
        </w:rPr>
        <w:t>。</w:t>
      </w:r>
    </w:p>
    <w:p>
      <w:pPr>
        <w:pStyle w:val="6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-269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2" w:firstLineChars="200"/>
        <w:jc w:val="left"/>
        <w:textAlignment w:val="auto"/>
        <w:rPr>
          <w:rFonts w:hint="eastAsia" w:ascii="黑体" w:hAnsi="黑体" w:eastAsia="黑体" w:cs="黑体"/>
          <w:b/>
          <w:bCs/>
          <w:sz w:val="21"/>
          <w:szCs w:val="21"/>
          <w:highlight w:val="none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21"/>
          <w:szCs w:val="21"/>
          <w:lang w:val="en-US" w:eastAsia="zh-CN"/>
        </w:rPr>
        <w:t>业绩比较基准不是预期收益率</w:t>
      </w:r>
      <w:r>
        <w:rPr>
          <w:rFonts w:hint="eastAsia" w:ascii="黑体" w:hAnsi="黑体" w:eastAsia="黑体" w:cs="黑体"/>
          <w:b/>
          <w:bCs/>
          <w:sz w:val="21"/>
          <w:szCs w:val="21"/>
        </w:rPr>
        <w:t>，不代表产品的未来表现和实际收益，不构成对产品收益的承诺</w:t>
      </w:r>
      <w:r>
        <w:rPr>
          <w:rFonts w:hint="eastAsia" w:ascii="黑体" w:hAnsi="黑体" w:eastAsia="黑体" w:cs="黑体"/>
          <w:b/>
          <w:bCs/>
          <w:sz w:val="21"/>
          <w:szCs w:val="21"/>
          <w:highlight w:val="none"/>
          <w:lang w:val="en-US" w:eastAsia="zh-CN"/>
        </w:rPr>
        <w:t>，投资须谨慎。</w:t>
      </w:r>
    </w:p>
    <w:p>
      <w:pPr>
        <w:pStyle w:val="6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-269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rPr>
          <w:rFonts w:hint="eastAsia" w:ascii="黑体" w:hAnsi="黑体" w:eastAsia="黑体" w:cs="黑体"/>
          <w:sz w:val="21"/>
          <w:szCs w:val="21"/>
          <w:highlight w:val="none"/>
          <w:lang w:val="en-US" w:eastAsia="zh-CN"/>
        </w:rPr>
      </w:pPr>
      <w:r>
        <w:rPr>
          <w:rFonts w:hint="eastAsia" w:ascii="黑体" w:hAnsi="黑体" w:eastAsia="黑体" w:cs="黑体"/>
          <w:sz w:val="21"/>
          <w:szCs w:val="21"/>
          <w:highlight w:val="none"/>
          <w:lang w:val="en-US" w:eastAsia="zh-CN"/>
        </w:rPr>
        <w:t>本产品其他信息仍以销售文件约定为准，您可通过约定的信息披露渠道查询最新销售文件。</w:t>
      </w:r>
    </w:p>
    <w:p>
      <w:pPr>
        <w:pStyle w:val="6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-269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rPr>
          <w:rFonts w:hint="eastAsia" w:ascii="黑体" w:hAnsi="黑体" w:eastAsia="黑体" w:cs="黑体"/>
          <w:sz w:val="21"/>
          <w:szCs w:val="21"/>
          <w:highlight w:val="none"/>
          <w:lang w:val="en-US" w:eastAsia="zh-CN"/>
        </w:rPr>
      </w:pPr>
      <w:r>
        <w:rPr>
          <w:rFonts w:hint="eastAsia" w:ascii="黑体" w:hAnsi="黑体" w:eastAsia="黑体" w:cs="黑体"/>
          <w:sz w:val="21"/>
          <w:szCs w:val="21"/>
          <w:highlight w:val="none"/>
          <w:lang w:val="en-US" w:eastAsia="zh-CN"/>
        </w:rPr>
        <w:t>感谢您一直以来对深圳农村商业银行股份有限公司的支持。敬请您继续关注深圳农村商业银行股份有限公司的其他理财产品。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500" w:firstLineChars="200"/>
        <w:jc w:val="both"/>
        <w:textAlignment w:val="auto"/>
        <w:rPr>
          <w:rFonts w:hint="eastAsia" w:ascii="黑体" w:hAnsi="黑体" w:eastAsia="黑体" w:cs="黑体"/>
          <w:color w:val="262626"/>
          <w:spacing w:val="20"/>
          <w:kern w:val="0"/>
          <w:szCs w:val="21"/>
        </w:rPr>
      </w:pPr>
      <w:r>
        <w:rPr>
          <w:rFonts w:hint="eastAsia" w:ascii="黑体" w:hAnsi="黑体" w:eastAsia="黑体" w:cs="黑体"/>
          <w:color w:val="262626"/>
          <w:spacing w:val="20"/>
          <w:kern w:val="0"/>
          <w:szCs w:val="21"/>
        </w:rPr>
        <w:t>特此公告。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500" w:firstLineChars="200"/>
        <w:jc w:val="right"/>
        <w:textAlignment w:val="auto"/>
        <w:rPr>
          <w:rFonts w:hint="eastAsia" w:ascii="黑体" w:hAnsi="黑体" w:eastAsia="黑体" w:cs="宋体"/>
          <w:color w:val="262626"/>
          <w:spacing w:val="20"/>
          <w:kern w:val="0"/>
          <w:szCs w:val="21"/>
          <w:lang w:eastAsia="zh-CN"/>
        </w:rPr>
      </w:pPr>
      <w:r>
        <w:rPr>
          <w:rFonts w:hint="eastAsia" w:ascii="黑体" w:hAnsi="黑体" w:eastAsia="黑体" w:cs="宋体"/>
          <w:color w:val="262626"/>
          <w:spacing w:val="20"/>
          <w:kern w:val="0"/>
          <w:szCs w:val="21"/>
          <w:lang w:eastAsia="zh-CN"/>
        </w:rPr>
        <w:t>深圳农村商业银行股份有限公司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500" w:firstLineChars="200"/>
        <w:jc w:val="right"/>
        <w:textAlignment w:val="auto"/>
        <w:rPr>
          <w:rFonts w:hint="eastAsia" w:ascii="黑体" w:hAnsi="黑体" w:eastAsia="黑体" w:cs="宋体"/>
          <w:color w:val="262626"/>
          <w:spacing w:val="20"/>
          <w:kern w:val="0"/>
          <w:szCs w:val="21"/>
        </w:rPr>
      </w:pPr>
      <w:r>
        <w:rPr>
          <w:rFonts w:hint="eastAsia" w:ascii="黑体" w:hAnsi="黑体" w:eastAsia="黑体" w:cs="宋体"/>
          <w:color w:val="262626"/>
          <w:spacing w:val="20"/>
          <w:kern w:val="0"/>
          <w:szCs w:val="21"/>
        </w:rPr>
        <w:t>202</w:t>
      </w:r>
      <w:r>
        <w:rPr>
          <w:rFonts w:hint="eastAsia" w:ascii="黑体" w:hAnsi="黑体" w:eastAsia="黑体" w:cs="宋体"/>
          <w:color w:val="262626"/>
          <w:spacing w:val="20"/>
          <w:kern w:val="0"/>
          <w:szCs w:val="21"/>
          <w:lang w:val="en-US" w:eastAsia="zh-CN"/>
        </w:rPr>
        <w:t>6</w:t>
      </w:r>
      <w:r>
        <w:rPr>
          <w:rFonts w:hint="eastAsia" w:ascii="黑体" w:hAnsi="黑体" w:eastAsia="黑体" w:cs="宋体"/>
          <w:color w:val="262626"/>
          <w:spacing w:val="20"/>
          <w:kern w:val="0"/>
          <w:szCs w:val="21"/>
        </w:rPr>
        <w:t>年</w:t>
      </w:r>
      <w:r>
        <w:rPr>
          <w:rFonts w:hint="eastAsia" w:ascii="黑体" w:hAnsi="黑体" w:eastAsia="黑体" w:cs="宋体"/>
          <w:color w:val="262626"/>
          <w:spacing w:val="20"/>
          <w:kern w:val="0"/>
          <w:szCs w:val="21"/>
          <w:lang w:val="en-US" w:eastAsia="zh-CN"/>
        </w:rPr>
        <w:t>8</w:t>
      </w:r>
      <w:r>
        <w:rPr>
          <w:rFonts w:hint="eastAsia" w:ascii="黑体" w:hAnsi="黑体" w:eastAsia="黑体" w:cs="宋体"/>
          <w:color w:val="262626"/>
          <w:spacing w:val="20"/>
          <w:kern w:val="0"/>
          <w:szCs w:val="21"/>
        </w:rPr>
        <w:t>月</w:t>
      </w:r>
      <w:r>
        <w:rPr>
          <w:rFonts w:hint="eastAsia" w:ascii="黑体" w:hAnsi="黑体" w:eastAsia="黑体" w:cs="宋体"/>
          <w:color w:val="262626"/>
          <w:spacing w:val="20"/>
          <w:kern w:val="0"/>
          <w:szCs w:val="21"/>
          <w:lang w:val="en-US" w:eastAsia="zh-CN"/>
        </w:rPr>
        <w:t>21</w:t>
      </w:r>
      <w:r>
        <w:rPr>
          <w:rFonts w:hint="eastAsia" w:ascii="黑体" w:hAnsi="黑体" w:eastAsia="黑体" w:cs="宋体"/>
          <w:color w:val="262626"/>
          <w:spacing w:val="20"/>
          <w:kern w:val="0"/>
          <w:szCs w:val="21"/>
        </w:rPr>
        <w:t>日</w:t>
      </w:r>
    </w:p>
    <w:p/>
    <w:p>
      <w:pPr>
        <w:rPr>
          <w:rFonts w:hint="eastAsia" w:ascii="黑体" w:hAnsi="黑体" w:eastAsia="黑体" w:cs="黑体"/>
          <w:sz w:val="21"/>
          <w:szCs w:val="21"/>
        </w:rPr>
      </w:pPr>
    </w:p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DCADC43"/>
    <w:multiLevelType w:val="multilevel"/>
    <w:tmpl w:val="7DCADC43"/>
    <w:lvl w:ilvl="0" w:tentative="0">
      <w:start w:val="1"/>
      <w:numFmt w:val="chineseCounting"/>
      <w:pStyle w:val="6"/>
      <w:suff w:val="space"/>
      <w:lvlText w:val="第%1条"/>
      <w:lvlJc w:val="left"/>
      <w:pPr>
        <w:tabs>
          <w:tab w:val="left" w:pos="420"/>
        </w:tabs>
        <w:ind w:left="3114" w:hanging="420"/>
      </w:pPr>
      <w:rPr>
        <w:rFonts w:hint="eastAsia" w:ascii="仿宋_GB2312" w:hAnsi="仿宋_GB2312" w:eastAsia="仿宋_GB2312"/>
        <w:b/>
        <w:sz w:val="32"/>
        <w:szCs w:val="32"/>
      </w:rPr>
    </w:lvl>
    <w:lvl w:ilvl="1" w:tentative="0">
      <w:start w:val="1"/>
      <w:numFmt w:val="lowerLetter"/>
      <w:lvlText w:val="%2)"/>
      <w:lvlJc w:val="left"/>
      <w:pPr>
        <w:ind w:left="840" w:hanging="420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0A9E"/>
    <w:rsid w:val="00084E2A"/>
    <w:rsid w:val="00107E63"/>
    <w:rsid w:val="00870A9E"/>
    <w:rsid w:val="00EF2F1E"/>
    <w:rsid w:val="10B43FF1"/>
    <w:rsid w:val="13FB6F9E"/>
    <w:rsid w:val="16572D01"/>
    <w:rsid w:val="166D6911"/>
    <w:rsid w:val="17055252"/>
    <w:rsid w:val="19735FF9"/>
    <w:rsid w:val="1A597E71"/>
    <w:rsid w:val="1E2F1EDE"/>
    <w:rsid w:val="1E4A0A1D"/>
    <w:rsid w:val="22D25A0F"/>
    <w:rsid w:val="2420712B"/>
    <w:rsid w:val="24B753E1"/>
    <w:rsid w:val="279144FD"/>
    <w:rsid w:val="29A1535C"/>
    <w:rsid w:val="2AB4530D"/>
    <w:rsid w:val="2E99127D"/>
    <w:rsid w:val="32A81A20"/>
    <w:rsid w:val="332E518E"/>
    <w:rsid w:val="34175D8B"/>
    <w:rsid w:val="3A101656"/>
    <w:rsid w:val="3D2250FD"/>
    <w:rsid w:val="3D5A64FA"/>
    <w:rsid w:val="3DB03C16"/>
    <w:rsid w:val="3EF250F7"/>
    <w:rsid w:val="412C4DBF"/>
    <w:rsid w:val="43A750C2"/>
    <w:rsid w:val="46034BB7"/>
    <w:rsid w:val="46EC2A29"/>
    <w:rsid w:val="49315233"/>
    <w:rsid w:val="4A7A685D"/>
    <w:rsid w:val="4B364656"/>
    <w:rsid w:val="4C087E9D"/>
    <w:rsid w:val="4C5863D2"/>
    <w:rsid w:val="4F933147"/>
    <w:rsid w:val="5299784E"/>
    <w:rsid w:val="55A24A12"/>
    <w:rsid w:val="55FB2FCB"/>
    <w:rsid w:val="57814C2C"/>
    <w:rsid w:val="58586F05"/>
    <w:rsid w:val="5B074859"/>
    <w:rsid w:val="5C74241E"/>
    <w:rsid w:val="5DCD361E"/>
    <w:rsid w:val="683B4AF2"/>
    <w:rsid w:val="699D4EE2"/>
    <w:rsid w:val="69CD29D8"/>
    <w:rsid w:val="6AA248C0"/>
    <w:rsid w:val="6C0678CF"/>
    <w:rsid w:val="6D0B6C5B"/>
    <w:rsid w:val="6D5E339F"/>
    <w:rsid w:val="6DD34209"/>
    <w:rsid w:val="7131531F"/>
    <w:rsid w:val="784E5B86"/>
    <w:rsid w:val="7BFF623F"/>
    <w:rsid w:val="7C247440"/>
    <w:rsid w:val="7E861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semiHidden/>
    <w:unhideWhenUsed/>
    <w:qFormat/>
    <w:uiPriority w:val="99"/>
    <w:pPr>
      <w:jc w:val="left"/>
    </w:pPr>
    <w:rPr>
      <w:rFonts w:ascii="Calibri" w:hAnsi="Calibri" w:eastAsia="宋体" w:cs="Times New Roman"/>
    </w:rPr>
  </w:style>
  <w:style w:type="character" w:styleId="5">
    <w:name w:val="Strong"/>
    <w:basedOn w:val="4"/>
    <w:qFormat/>
    <w:uiPriority w:val="22"/>
    <w:rPr>
      <w:b/>
      <w:bCs/>
    </w:rPr>
  </w:style>
  <w:style w:type="paragraph" w:customStyle="1" w:styleId="6">
    <w:name w:val="条段落"/>
    <w:basedOn w:val="1"/>
    <w:qFormat/>
    <w:uiPriority w:val="0"/>
    <w:pPr>
      <w:numPr>
        <w:ilvl w:val="0"/>
        <w:numId w:val="1"/>
      </w:numPr>
      <w:ind w:left="0" w:firstLine="640"/>
    </w:pPr>
    <w:rPr>
      <w:rFonts w:ascii="宋体" w:hAnsi="宋体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52</Words>
  <Characters>297</Characters>
  <Lines>2</Lines>
  <Paragraphs>1</Paragraphs>
  <TotalTime>0</TotalTime>
  <ScaleCrop>false</ScaleCrop>
  <LinksUpToDate>false</LinksUpToDate>
  <CharactersWithSpaces>348</CharactersWithSpaces>
  <Application>WPS Office_11.8.2.12265_F1E327BC-269C-435d-A152-05C5408002CA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2019-10-17T06:56:00Z</dcterms:created>
  <dc:creator>Lenovo</dc:creator>
  <cp:lastModifiedBy>冰是睡着的水</cp:lastModifiedBy>
  <cp:lastPrinted>2026-08-06T07:44:00Z</cp:lastPrinted>
  <dcterms:modified xsi:type="dcterms:W3CDTF">2026-08-19T03:53:22Z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2052-11.8.2.12265</vt:lpwstr>
  </property>
  <property fmtid="{D5CDD505-2E9C-101B-9397-08002B2CF9AE}" pid="3" name="ICV">
    <vt:lpwstr>9FA63E02041B4A89881072C71715281C</vt:lpwstr>
  </property>
</Properties>
</file>