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</w:pPr>
    </w:p>
    <w:p>
      <w:pPr>
        <w:widowControl/>
        <w:jc w:val="center"/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</w:pPr>
      <w:r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  <w:t>关于</w:t>
      </w:r>
      <w:r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  <w:lang w:eastAsia="zh-CN"/>
        </w:rPr>
        <w:t>调整</w:t>
      </w:r>
      <w:r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  <w:t>圳元金</w:t>
      </w:r>
      <w:r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  <w:lang w:eastAsia="zh-CN"/>
        </w:rPr>
        <w:t>周周盈</w:t>
      </w:r>
      <w:r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  <w:t>理财产品</w:t>
      </w:r>
      <w:r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  <w:lang w:val="en-US" w:eastAsia="zh-CN"/>
        </w:rPr>
        <w:t>1</w:t>
      </w:r>
      <w:r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  <w:t>固定管理费率的公告</w:t>
      </w:r>
    </w:p>
    <w:p>
      <w:pPr>
        <w:widowControl/>
        <w:jc w:val="center"/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</w:pPr>
    </w:p>
    <w:p>
      <w:pPr>
        <w:widowControl/>
        <w:jc w:val="center"/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</w:pPr>
    </w:p>
    <w:p>
      <w:pPr>
        <w:widowControl/>
        <w:jc w:val="left"/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尊敬的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客户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00" w:firstLineChars="200"/>
        <w:jc w:val="both"/>
        <w:textAlignment w:val="auto"/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根据产品运作情况，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我行计划于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2026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年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7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月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1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日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（含）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起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调整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圳元金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周周盈理财产品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1（产品编号：ZYJ800101）《产品说明书》约定的固定管理费率，</w:t>
      </w:r>
      <w:bookmarkStart w:id="0" w:name="_GoBack"/>
      <w:bookmarkEnd w:id="0"/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调整内容具体如下：</w:t>
      </w:r>
    </w:p>
    <w:tbl>
      <w:tblPr>
        <w:tblStyle w:val="2"/>
        <w:tblW w:w="8297" w:type="dxa"/>
        <w:tblInd w:w="0" w:type="dxa"/>
        <w:tblBorders>
          <w:top w:val="single" w:color="004200" w:themeColor="text1" w:sz="6" w:space="0"/>
          <w:left w:val="single" w:color="004200" w:themeColor="text1" w:sz="6" w:space="0"/>
          <w:bottom w:val="single" w:color="004200" w:themeColor="text1" w:sz="6" w:space="0"/>
          <w:right w:val="single" w:color="004200" w:themeColor="text1" w:sz="6" w:space="0"/>
          <w:insideH w:val="single" w:color="004200" w:themeColor="text1" w:sz="6" w:space="0"/>
          <w:insideV w:val="single" w:color="004200" w:themeColor="text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1896"/>
        <w:gridCol w:w="1481"/>
        <w:gridCol w:w="1500"/>
        <w:gridCol w:w="1988"/>
      </w:tblGrid>
      <w:tr>
        <w:tblPrEx>
          <w:tblBorders>
            <w:top w:val="single" w:color="004200" w:themeColor="text1" w:sz="6" w:space="0"/>
            <w:left w:val="single" w:color="004200" w:themeColor="text1" w:sz="6" w:space="0"/>
            <w:bottom w:val="single" w:color="004200" w:themeColor="text1" w:sz="6" w:space="0"/>
            <w:right w:val="single" w:color="004200" w:themeColor="text1" w:sz="6" w:space="0"/>
            <w:insideH w:val="single" w:color="004200" w:themeColor="text1" w:sz="6" w:space="0"/>
            <w:insideV w:val="single" w:color="0042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费用名称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适用对象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eastAsia="zh-CN"/>
              </w:rPr>
              <w:t>调整</w:t>
            </w: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  <w:t>前费率（年化）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eastAsia="zh-CN"/>
              </w:rPr>
              <w:t>调整</w:t>
            </w: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  <w:t>后费率（年化）</w:t>
            </w:r>
          </w:p>
        </w:tc>
        <w:tc>
          <w:tcPr>
            <w:tcW w:w="19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eastAsia="zh-CN"/>
              </w:rPr>
              <w:t>生效</w:t>
            </w: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  <w:t>日期（含）</w:t>
            </w:r>
          </w:p>
        </w:tc>
      </w:tr>
      <w:tr>
        <w:tblPrEx>
          <w:tblBorders>
            <w:top w:val="single" w:color="004200" w:themeColor="text1" w:sz="6" w:space="0"/>
            <w:left w:val="single" w:color="004200" w:themeColor="text1" w:sz="6" w:space="0"/>
            <w:bottom w:val="single" w:color="004200" w:themeColor="text1" w:sz="6" w:space="0"/>
            <w:right w:val="single" w:color="004200" w:themeColor="text1" w:sz="6" w:space="0"/>
            <w:insideH w:val="single" w:color="004200" w:themeColor="text1" w:sz="6" w:space="0"/>
            <w:insideV w:val="single" w:color="004200" w:themeColor="text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固定管理费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color w:val="262626"/>
                <w:spacing w:val="20"/>
                <w:kern w:val="0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个人、机构客户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0.01%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0.30%</w:t>
            </w:r>
          </w:p>
        </w:tc>
        <w:tc>
          <w:tcPr>
            <w:tcW w:w="19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2026-7-1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00" w:firstLineChars="200"/>
        <w:jc w:val="both"/>
        <w:textAlignment w:val="auto"/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如果您不接受该调整，可在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2026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年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6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月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24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日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前任一赎回期内赎回该产品。自生效日期（含）起，如果您选择持有该产品份额，则视为接受该费用的调整。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感谢您一直以来对深圳农村商业银行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股份有限公司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的支持。敬请您继续关注深圳农村商业银行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股份有限公司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的其他理财产品。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00" w:firstLineChars="200"/>
        <w:jc w:val="both"/>
        <w:textAlignment w:val="auto"/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特此公告。</w:t>
      </w:r>
    </w:p>
    <w:p>
      <w:pPr>
        <w:widowControl/>
        <w:spacing w:before="150" w:after="150" w:line="375" w:lineRule="atLeast"/>
        <w:ind w:firstLine="480"/>
        <w:jc w:val="right"/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深圳农村商业银行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股份有限公司</w:t>
      </w:r>
    </w:p>
    <w:p>
      <w:pPr>
        <w:widowControl/>
        <w:spacing w:before="150" w:after="150" w:line="375" w:lineRule="atLeast"/>
        <w:ind w:firstLine="480"/>
        <w:jc w:val="right"/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  <w:t>20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  <w:lang w:val="en-US" w:eastAsia="zh-CN"/>
        </w:rPr>
        <w:t>26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  <w:t>年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  <w:lang w:val="en-US" w:eastAsia="zh-CN"/>
        </w:rPr>
        <w:t>3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  <w:t>月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  <w:lang w:val="en-US" w:eastAsia="zh-CN"/>
        </w:rPr>
        <w:t>26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  <w:t>日</w:t>
      </w:r>
    </w:p>
    <w:p>
      <w:pPr>
        <w:rPr>
          <w:rFonts w:hint="eastAsia" w:ascii="黑体" w:hAnsi="黑体" w:eastAsia="黑体" w:cs="黑体"/>
          <w:sz w:val="21"/>
          <w:szCs w:val="21"/>
        </w:rPr>
      </w:pPr>
    </w:p>
    <w:p>
      <w:pPr>
        <w:rPr>
          <w:rFonts w:hint="eastAsia" w:ascii="黑体" w:hAnsi="黑体" w:eastAsia="黑体" w:cs="黑体"/>
          <w:sz w:val="21"/>
          <w:szCs w:val="21"/>
        </w:rPr>
      </w:pPr>
    </w:p>
    <w:p>
      <w:pPr>
        <w:rPr>
          <w:rFonts w:hint="eastAsia" w:ascii="黑体" w:hAnsi="黑体" w:eastAsia="黑体" w:cs="黑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A9E"/>
    <w:rsid w:val="00084E2A"/>
    <w:rsid w:val="003F7259"/>
    <w:rsid w:val="00870A9E"/>
    <w:rsid w:val="00EF2F1E"/>
    <w:rsid w:val="049D52A3"/>
    <w:rsid w:val="08743B82"/>
    <w:rsid w:val="09B92D58"/>
    <w:rsid w:val="13FB6F9E"/>
    <w:rsid w:val="15146517"/>
    <w:rsid w:val="17055252"/>
    <w:rsid w:val="173814B1"/>
    <w:rsid w:val="19735FF9"/>
    <w:rsid w:val="22D25A0F"/>
    <w:rsid w:val="233C6184"/>
    <w:rsid w:val="2420712B"/>
    <w:rsid w:val="24B753E1"/>
    <w:rsid w:val="259F1949"/>
    <w:rsid w:val="2E99127D"/>
    <w:rsid w:val="332E518E"/>
    <w:rsid w:val="35D44B81"/>
    <w:rsid w:val="37110C9C"/>
    <w:rsid w:val="399238CE"/>
    <w:rsid w:val="3ED42C1B"/>
    <w:rsid w:val="3EF250F7"/>
    <w:rsid w:val="43275614"/>
    <w:rsid w:val="44935EBF"/>
    <w:rsid w:val="45CB5E48"/>
    <w:rsid w:val="4B364656"/>
    <w:rsid w:val="4C1C504A"/>
    <w:rsid w:val="4C5863D2"/>
    <w:rsid w:val="5299784E"/>
    <w:rsid w:val="565D19DB"/>
    <w:rsid w:val="5BFA5BAB"/>
    <w:rsid w:val="5D8579FD"/>
    <w:rsid w:val="644E57E5"/>
    <w:rsid w:val="65820B9F"/>
    <w:rsid w:val="669F0B6A"/>
    <w:rsid w:val="683B4AF2"/>
    <w:rsid w:val="69CD29D8"/>
    <w:rsid w:val="6AB806BD"/>
    <w:rsid w:val="6C0678CF"/>
    <w:rsid w:val="6DD34209"/>
    <w:rsid w:val="70637F71"/>
    <w:rsid w:val="7131531F"/>
    <w:rsid w:val="784E5B86"/>
    <w:rsid w:val="7BFF623F"/>
    <w:rsid w:val="7E86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4200"/>
      </a:dk1>
      <a:lt1>
        <a:sysClr val="window" lastClr="DCF5E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297</Characters>
  <Lines>2</Lines>
  <Paragraphs>1</Paragraphs>
  <TotalTime>4</TotalTime>
  <ScaleCrop>false</ScaleCrop>
  <LinksUpToDate>false</LinksUpToDate>
  <CharactersWithSpaces>348</CharactersWithSpaces>
  <Application>WPS Office_11.8.2.12265_F1E327BC-269C-435d-A152-05C5408002CA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2019-10-17T06:56:00Z</dcterms:created>
  <dc:creator>Lenovo</dc:creator>
  <cp:lastModifiedBy>penglujia</cp:lastModifiedBy>
  <cp:lastPrinted>2026-03-24T09:28:19Z</cp:lastPrinted>
  <dcterms:modified xsi:type="dcterms:W3CDTF">2026-03-24T09:28:24Z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519928ED6E9140ACA2BC66BA3E12DF57</vt:lpwstr>
  </property>
</Properties>
</file>