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ascii="黑体" w:hAnsi="黑体" w:eastAsia="黑体"/>
          <w:b/>
          <w:bCs/>
        </w:rPr>
        <w:t xml:space="preserve">信通理财-圳元金月月盈理财产品8 </w:t>
      </w:r>
      <w:r>
        <w:rPr>
          <w:rFonts w:hint="eastAsia" w:ascii="黑体" w:hAnsi="黑体" w:eastAsia="黑体"/>
          <w:b/>
          <w:bCs/>
        </w:rPr>
        <w:t>202</w:t>
      </w:r>
      <w:r>
        <w:rPr>
          <w:rFonts w:hint="eastAsia" w:ascii="黑体" w:hAnsi="黑体" w:eastAsia="黑体"/>
          <w:b/>
          <w:bCs/>
          <w:lang w:val="en-US" w:eastAsia="zh-CN"/>
        </w:rPr>
        <w:t>6</w:t>
      </w:r>
      <w:r>
        <w:rPr>
          <w:rFonts w:hint="eastAsia" w:ascii="黑体" w:hAnsi="黑体" w:eastAsia="黑体"/>
          <w:b/>
          <w:bCs/>
        </w:rPr>
        <w:t>年第</w:t>
      </w:r>
      <w:r>
        <w:rPr>
          <w:rFonts w:hint="eastAsia" w:ascii="黑体" w:hAnsi="黑体" w:eastAsia="黑体"/>
          <w:b/>
          <w:bCs/>
          <w:lang w:val="en-US" w:eastAsia="zh-CN"/>
        </w:rPr>
        <w:t>一</w:t>
      </w:r>
      <w:r>
        <w:rPr>
          <w:rFonts w:hint="eastAsia" w:ascii="黑体" w:hAnsi="黑体" w:eastAsia="黑体"/>
          <w:b/>
          <w:bCs/>
        </w:rPr>
        <w:t>季度报告</w:t>
      </w:r>
    </w:p>
    <w:p>
      <w:pPr>
        <w:widowControl/>
        <w:spacing w:line="480" w:lineRule="auto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一、理财产品基本信息</w:t>
      </w:r>
    </w:p>
    <w:tbl>
      <w:tblPr>
        <w:tblStyle w:val="7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5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产品名称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信通理财-圳元金月月盈理财产品8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ZYJ800308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登记编码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C1109624000026，客户可依据本登记编码在中国理财网（www.chinawealth.com.cn）上查询产品信息。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产品类型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本金及收益币种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报告期末产品总份额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 xml:space="preserve"> 86,277,250.02份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报告期末产品存续规模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89,935,360.18元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投资期限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以一个月为一个投资周期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收益支付日及支付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每一个月分配、按周期支付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托管人</w:t>
            </w:r>
          </w:p>
        </w:tc>
        <w:tc>
          <w:tcPr>
            <w:tcW w:w="6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圳元金月月盈理财产品8报告期内净值信息如下：</w:t>
      </w:r>
    </w:p>
    <w:tbl>
      <w:tblPr>
        <w:tblStyle w:val="7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ZYJ800308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1.03829669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1.03829669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ZYJ800308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1.04034593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1.04034593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ZYJ800308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1.50%-2.70%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1.04239947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1.04239947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1.报告期末资产种类及比例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041"/>
        <w:gridCol w:w="1491"/>
        <w:gridCol w:w="1158"/>
        <w:gridCol w:w="1603"/>
        <w:gridCol w:w="149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204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项目</w:t>
            </w:r>
          </w:p>
        </w:tc>
        <w:tc>
          <w:tcPr>
            <w:tcW w:w="264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直接投资</w:t>
            </w:r>
          </w:p>
        </w:tc>
        <w:tc>
          <w:tcPr>
            <w:tcW w:w="3095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间接投资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</w:p>
        </w:tc>
        <w:tc>
          <w:tcPr>
            <w:tcW w:w="2041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资产余额（元）</w:t>
            </w:r>
          </w:p>
        </w:tc>
        <w:tc>
          <w:tcPr>
            <w:tcW w:w="11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占比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资产余额（元）</w:t>
            </w:r>
          </w:p>
        </w:tc>
        <w:tc>
          <w:tcPr>
            <w:tcW w:w="14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占比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固定收益类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1,004.05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105,109,758.24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权益类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商品及金融衍生品类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4"/>
                <w:szCs w:val="4"/>
              </w:rPr>
            </w:pP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合计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1,004.05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105,109,758.24</w:t>
            </w:r>
          </w:p>
        </w:tc>
        <w:tc>
          <w:tcPr>
            <w:tcW w:w="14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注: 占比=资产余额/穿透后的产品总资产，占比结果保留两位小数（因第二位小数四舍五入，可能存在尾差）。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2.报告期末杆杠融资情况</w:t>
      </w:r>
    </w:p>
    <w:tbl>
      <w:tblPr>
        <w:tblStyle w:val="8"/>
        <w:tblW w:w="852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2693"/>
        <w:gridCol w:w="24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项目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金额（元）</w:t>
            </w:r>
          </w:p>
        </w:tc>
        <w:tc>
          <w:tcPr>
            <w:tcW w:w="24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占资产净值比例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报告期末债券回购融资余额</w:t>
            </w:r>
          </w:p>
        </w:tc>
        <w:tc>
          <w:tcPr>
            <w:tcW w:w="26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15,003,796.06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16.68%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报告期末本产品债券回购融资余额未超过该产品资产净值的40%，本产品总资产未超过该产品资产净值的140%。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3.报告期末投资组合平均剩余期限分布比例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2268"/>
        <w:gridCol w:w="21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序号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平均剩余期限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各期限资产占资产净值的比例</w:t>
            </w:r>
          </w:p>
        </w:tc>
        <w:tc>
          <w:tcPr>
            <w:tcW w:w="217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各期限负债占资产净值的比例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30天（含）以内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16.68%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2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31-90天（含）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91天-180天（含）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12.93%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4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181天-365天（含）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12.29%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5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1年-3年（含）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47.54%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6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3年以上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37.35%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2"/>
              </w:rPr>
              <w:t>　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textAlignment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116.87%</w:t>
            </w:r>
          </w:p>
        </w:tc>
        <w:tc>
          <w:tcPr>
            <w:tcW w:w="21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kern w:val="0"/>
                <w:sz w:val="6"/>
                <w:szCs w:val="6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16.68%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4.报告期末资产持仓前十基本信息</w:t>
      </w: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112"/>
        <w:gridCol w:w="2162"/>
        <w:gridCol w:w="2114"/>
        <w:gridCol w:w="23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序号</w:t>
            </w:r>
          </w:p>
        </w:tc>
        <w:tc>
          <w:tcPr>
            <w:tcW w:w="11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资产类型</w:t>
            </w:r>
          </w:p>
        </w:tc>
        <w:tc>
          <w:tcPr>
            <w:tcW w:w="216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资产名称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资产余额（元）</w:t>
            </w:r>
          </w:p>
        </w:tc>
        <w:tc>
          <w:tcPr>
            <w:tcW w:w="23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6"/>
                <w:szCs w:val="6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占资产净值的比例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21洛阳银行永续债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3,854,248.65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2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24农发清发32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3,410,269.67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3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22威海商行二级资本债01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3,238,609.97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4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25陕西机械MTN001(科创债)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3,153,085.23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5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一航YK03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3,106,493.67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6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八局251B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3,101,011.63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7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KZ浙兴01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2,786,251.96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8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22国丰Y6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1,938,842.28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9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24建发Y5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1,898,490.55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黑体" w:eastAsia="黑体"/>
                <w:color w:val="000000"/>
                <w:sz w:val="22"/>
              </w:rPr>
              <w:t>10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1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兖矿KY01</w:t>
            </w:r>
          </w:p>
        </w:tc>
        <w:tc>
          <w:tcPr>
            <w:tcW w:w="21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1,890,784.32 </w:t>
            </w:r>
          </w:p>
        </w:tc>
        <w:tc>
          <w:tcPr>
            <w:tcW w:w="23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4"/>
                <w:szCs w:val="4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2.10%</w:t>
            </w:r>
          </w:p>
        </w:tc>
      </w:tr>
    </w:tbl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报告期末投资于理财产品关联方发行、承销的证券</w:t>
      </w:r>
    </w:p>
    <w:tbl>
      <w:tblPr>
        <w:tblStyle w:val="7"/>
        <w:tblW w:w="65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304"/>
        <w:gridCol w:w="875"/>
        <w:gridCol w:w="2853"/>
        <w:gridCol w:w="875"/>
        <w:gridCol w:w="10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22民生银行永续债01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100.37 </w:t>
            </w:r>
          </w:p>
        </w:tc>
        <w:tc>
          <w:tcPr>
            <w:tcW w:w="2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  <w:bookmarkStart w:id="0" w:name="_GoBack"/>
      <w:bookmarkEnd w:id="0"/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四、投资组合的流动性风险分析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投资账户信息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深圳农村商业银行股份有限公司圳元金月月盈理财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产品8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4000023029202520965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深圳农村商业银行股份有限公司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2026年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Cs w:val="21"/>
        </w:rPr>
        <w:t>月21日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A0589F"/>
    <w:multiLevelType w:val="singleLevel"/>
    <w:tmpl w:val="8BA058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F7FA3E8"/>
    <w:multiLevelType w:val="singleLevel"/>
    <w:tmpl w:val="6F7FA3E8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C2BAE"/>
    <w:rsid w:val="003C50A1"/>
    <w:rsid w:val="003C7E40"/>
    <w:rsid w:val="003F1320"/>
    <w:rsid w:val="004521F6"/>
    <w:rsid w:val="00487C9E"/>
    <w:rsid w:val="004E7534"/>
    <w:rsid w:val="00515564"/>
    <w:rsid w:val="005222F2"/>
    <w:rsid w:val="00525034"/>
    <w:rsid w:val="00573D79"/>
    <w:rsid w:val="00580439"/>
    <w:rsid w:val="005859D4"/>
    <w:rsid w:val="005B114C"/>
    <w:rsid w:val="005B3B6E"/>
    <w:rsid w:val="005C7423"/>
    <w:rsid w:val="005D4AD1"/>
    <w:rsid w:val="00682281"/>
    <w:rsid w:val="00693E09"/>
    <w:rsid w:val="00696584"/>
    <w:rsid w:val="006A2F15"/>
    <w:rsid w:val="006D520C"/>
    <w:rsid w:val="007224C7"/>
    <w:rsid w:val="00733747"/>
    <w:rsid w:val="00734E4B"/>
    <w:rsid w:val="00740298"/>
    <w:rsid w:val="00756378"/>
    <w:rsid w:val="00766410"/>
    <w:rsid w:val="007731FC"/>
    <w:rsid w:val="00780B1A"/>
    <w:rsid w:val="007A79DC"/>
    <w:rsid w:val="007B3484"/>
    <w:rsid w:val="007B616D"/>
    <w:rsid w:val="007C2368"/>
    <w:rsid w:val="007F2511"/>
    <w:rsid w:val="007F5D10"/>
    <w:rsid w:val="00801194"/>
    <w:rsid w:val="00840A8A"/>
    <w:rsid w:val="00851107"/>
    <w:rsid w:val="008612C2"/>
    <w:rsid w:val="00867136"/>
    <w:rsid w:val="00887FF6"/>
    <w:rsid w:val="008C3D56"/>
    <w:rsid w:val="008D6E43"/>
    <w:rsid w:val="009132C8"/>
    <w:rsid w:val="00947B5B"/>
    <w:rsid w:val="00950E93"/>
    <w:rsid w:val="00951184"/>
    <w:rsid w:val="00957929"/>
    <w:rsid w:val="0097478A"/>
    <w:rsid w:val="009B2AA6"/>
    <w:rsid w:val="00A0333C"/>
    <w:rsid w:val="00A05174"/>
    <w:rsid w:val="00A152EC"/>
    <w:rsid w:val="00A21054"/>
    <w:rsid w:val="00A55592"/>
    <w:rsid w:val="00A56C79"/>
    <w:rsid w:val="00AD30A1"/>
    <w:rsid w:val="00AD407E"/>
    <w:rsid w:val="00AD4E82"/>
    <w:rsid w:val="00AF708B"/>
    <w:rsid w:val="00B03202"/>
    <w:rsid w:val="00B059D6"/>
    <w:rsid w:val="00B165B1"/>
    <w:rsid w:val="00B40912"/>
    <w:rsid w:val="00B631BB"/>
    <w:rsid w:val="00B70C46"/>
    <w:rsid w:val="00BC5826"/>
    <w:rsid w:val="00BD76A5"/>
    <w:rsid w:val="00BF6B04"/>
    <w:rsid w:val="00C03C78"/>
    <w:rsid w:val="00C20018"/>
    <w:rsid w:val="00C33BA0"/>
    <w:rsid w:val="00C36473"/>
    <w:rsid w:val="00C607EF"/>
    <w:rsid w:val="00C612E4"/>
    <w:rsid w:val="00C632A6"/>
    <w:rsid w:val="00C8183B"/>
    <w:rsid w:val="00C943C1"/>
    <w:rsid w:val="00CC0765"/>
    <w:rsid w:val="00CD1230"/>
    <w:rsid w:val="00D02EC3"/>
    <w:rsid w:val="00D11D00"/>
    <w:rsid w:val="00D20E8D"/>
    <w:rsid w:val="00D4372E"/>
    <w:rsid w:val="00D579AE"/>
    <w:rsid w:val="00DA5006"/>
    <w:rsid w:val="00DC7F96"/>
    <w:rsid w:val="00E53426"/>
    <w:rsid w:val="00EA625D"/>
    <w:rsid w:val="00EC297E"/>
    <w:rsid w:val="00ED156C"/>
    <w:rsid w:val="00ED7C3D"/>
    <w:rsid w:val="00EF2A35"/>
    <w:rsid w:val="00F34317"/>
    <w:rsid w:val="00F40D58"/>
    <w:rsid w:val="00F429BA"/>
    <w:rsid w:val="00F54F9A"/>
    <w:rsid w:val="00F80A76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4AE419F"/>
    <w:rsid w:val="04B1778E"/>
    <w:rsid w:val="05046F8A"/>
    <w:rsid w:val="07521C8A"/>
    <w:rsid w:val="091B6265"/>
    <w:rsid w:val="09291EA3"/>
    <w:rsid w:val="0A2D20C0"/>
    <w:rsid w:val="0AB12065"/>
    <w:rsid w:val="0B065B53"/>
    <w:rsid w:val="0D2E3C45"/>
    <w:rsid w:val="0D6041A4"/>
    <w:rsid w:val="0F8255B5"/>
    <w:rsid w:val="113A1606"/>
    <w:rsid w:val="11445FCA"/>
    <w:rsid w:val="11712317"/>
    <w:rsid w:val="11A05B47"/>
    <w:rsid w:val="11A87BCF"/>
    <w:rsid w:val="12F457C4"/>
    <w:rsid w:val="137D78E1"/>
    <w:rsid w:val="13DC6075"/>
    <w:rsid w:val="14044859"/>
    <w:rsid w:val="15E928AE"/>
    <w:rsid w:val="16AD6809"/>
    <w:rsid w:val="170A1FBF"/>
    <w:rsid w:val="17E667B2"/>
    <w:rsid w:val="18957161"/>
    <w:rsid w:val="19942E89"/>
    <w:rsid w:val="19BE7A64"/>
    <w:rsid w:val="1A212AE1"/>
    <w:rsid w:val="1A3C01FC"/>
    <w:rsid w:val="1A8E7342"/>
    <w:rsid w:val="1B095114"/>
    <w:rsid w:val="1CF8290D"/>
    <w:rsid w:val="20491414"/>
    <w:rsid w:val="205D2F11"/>
    <w:rsid w:val="20CE2C4F"/>
    <w:rsid w:val="21CB78CB"/>
    <w:rsid w:val="22353B2B"/>
    <w:rsid w:val="23264B69"/>
    <w:rsid w:val="234E32CF"/>
    <w:rsid w:val="2373618D"/>
    <w:rsid w:val="24340A4B"/>
    <w:rsid w:val="24986533"/>
    <w:rsid w:val="24E8319D"/>
    <w:rsid w:val="26E92A8E"/>
    <w:rsid w:val="28C57798"/>
    <w:rsid w:val="2955721D"/>
    <w:rsid w:val="29723428"/>
    <w:rsid w:val="2AD27A07"/>
    <w:rsid w:val="2BC740AE"/>
    <w:rsid w:val="2C604CFD"/>
    <w:rsid w:val="2E38185D"/>
    <w:rsid w:val="2EB37359"/>
    <w:rsid w:val="2F483D01"/>
    <w:rsid w:val="30265781"/>
    <w:rsid w:val="30295C38"/>
    <w:rsid w:val="30B33F15"/>
    <w:rsid w:val="30DD74C7"/>
    <w:rsid w:val="310823DD"/>
    <w:rsid w:val="32000D19"/>
    <w:rsid w:val="3258664C"/>
    <w:rsid w:val="34C76649"/>
    <w:rsid w:val="35FB0160"/>
    <w:rsid w:val="3673128D"/>
    <w:rsid w:val="36B271C6"/>
    <w:rsid w:val="36CE10FC"/>
    <w:rsid w:val="36D50FE5"/>
    <w:rsid w:val="37654F65"/>
    <w:rsid w:val="387354EC"/>
    <w:rsid w:val="39511E95"/>
    <w:rsid w:val="39EE5960"/>
    <w:rsid w:val="3A4C1F14"/>
    <w:rsid w:val="3BC05242"/>
    <w:rsid w:val="3C642FF0"/>
    <w:rsid w:val="3CA9683A"/>
    <w:rsid w:val="3F4C0765"/>
    <w:rsid w:val="401A4F31"/>
    <w:rsid w:val="419661DE"/>
    <w:rsid w:val="42F77A76"/>
    <w:rsid w:val="440334E0"/>
    <w:rsid w:val="456C7AE0"/>
    <w:rsid w:val="45B57F0F"/>
    <w:rsid w:val="47140486"/>
    <w:rsid w:val="49A418C0"/>
    <w:rsid w:val="4A2B20DD"/>
    <w:rsid w:val="4A3458ED"/>
    <w:rsid w:val="4B4F0502"/>
    <w:rsid w:val="4BA91DC3"/>
    <w:rsid w:val="4D127FA8"/>
    <w:rsid w:val="4DCD1C81"/>
    <w:rsid w:val="4E5752D2"/>
    <w:rsid w:val="4F3A492D"/>
    <w:rsid w:val="4FAF2A96"/>
    <w:rsid w:val="500A12CA"/>
    <w:rsid w:val="505E1D13"/>
    <w:rsid w:val="508771BD"/>
    <w:rsid w:val="51A922C3"/>
    <w:rsid w:val="51BC69F4"/>
    <w:rsid w:val="51E210E3"/>
    <w:rsid w:val="523C3EE3"/>
    <w:rsid w:val="524E08B1"/>
    <w:rsid w:val="53DF6B9B"/>
    <w:rsid w:val="54602532"/>
    <w:rsid w:val="54BC5C59"/>
    <w:rsid w:val="55602C62"/>
    <w:rsid w:val="5572259F"/>
    <w:rsid w:val="5607779B"/>
    <w:rsid w:val="567E795B"/>
    <w:rsid w:val="57A61CE9"/>
    <w:rsid w:val="57D11B18"/>
    <w:rsid w:val="58276526"/>
    <w:rsid w:val="592C7D58"/>
    <w:rsid w:val="59A34CB5"/>
    <w:rsid w:val="5A136532"/>
    <w:rsid w:val="5BC35F79"/>
    <w:rsid w:val="5C3D4A45"/>
    <w:rsid w:val="5CC52489"/>
    <w:rsid w:val="5CEF5C0E"/>
    <w:rsid w:val="5D121241"/>
    <w:rsid w:val="5D947620"/>
    <w:rsid w:val="5EE411E8"/>
    <w:rsid w:val="5FA86191"/>
    <w:rsid w:val="60B53D18"/>
    <w:rsid w:val="61486B40"/>
    <w:rsid w:val="63216F9C"/>
    <w:rsid w:val="63702285"/>
    <w:rsid w:val="63815DD0"/>
    <w:rsid w:val="63E12B02"/>
    <w:rsid w:val="66027806"/>
    <w:rsid w:val="6783330B"/>
    <w:rsid w:val="67DF1497"/>
    <w:rsid w:val="6AB954A7"/>
    <w:rsid w:val="6BBE5589"/>
    <w:rsid w:val="6BD6361E"/>
    <w:rsid w:val="6C87427E"/>
    <w:rsid w:val="6DAD4AA3"/>
    <w:rsid w:val="6F470771"/>
    <w:rsid w:val="6F674C74"/>
    <w:rsid w:val="70450E41"/>
    <w:rsid w:val="709708C3"/>
    <w:rsid w:val="70A73FA5"/>
    <w:rsid w:val="70BE68B0"/>
    <w:rsid w:val="7126225A"/>
    <w:rsid w:val="71E9373A"/>
    <w:rsid w:val="738D1947"/>
    <w:rsid w:val="75232F49"/>
    <w:rsid w:val="75746D74"/>
    <w:rsid w:val="75873D0B"/>
    <w:rsid w:val="75BB3F35"/>
    <w:rsid w:val="768921F1"/>
    <w:rsid w:val="77D96F49"/>
    <w:rsid w:val="77E43C60"/>
    <w:rsid w:val="78020B8B"/>
    <w:rsid w:val="7AC67696"/>
    <w:rsid w:val="7B220D8F"/>
    <w:rsid w:val="7BDD06D8"/>
    <w:rsid w:val="7CD04EB4"/>
    <w:rsid w:val="7D6E2658"/>
    <w:rsid w:val="7E9E4AB6"/>
    <w:rsid w:val="7EF23C75"/>
    <w:rsid w:val="7F57732C"/>
    <w:rsid w:val="7F61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1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2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3">
    <w:name w:val="item-label3"/>
    <w:basedOn w:val="9"/>
    <w:qFormat/>
    <w:uiPriority w:val="0"/>
    <w:rPr>
      <w:color w:val="555E6A"/>
    </w:rPr>
  </w:style>
  <w:style w:type="paragraph" w:customStyle="1" w:styleId="14">
    <w:name w:val="z-窗体顶端1"/>
    <w:basedOn w:val="1"/>
    <w:next w:val="1"/>
    <w:link w:val="1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5">
    <w:name w:val="z-窗体顶端 Char"/>
    <w:basedOn w:val="9"/>
    <w:link w:val="14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6">
    <w:name w:val="z-窗体底端1"/>
    <w:basedOn w:val="1"/>
    <w:next w:val="1"/>
    <w:link w:val="17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7">
    <w:name w:val="z-窗体底端 Char"/>
    <w:basedOn w:val="9"/>
    <w:link w:val="16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9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20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21">
    <w:name w:val="文档结构图 字符"/>
    <w:basedOn w:val="9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896</Words>
  <Characters>1622</Characters>
  <Lines>231</Lines>
  <Paragraphs>279</Paragraphs>
  <TotalTime>0</TotalTime>
  <ScaleCrop>false</ScaleCrop>
  <LinksUpToDate>false</LinksUpToDate>
  <CharactersWithSpaces>2239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2026-04-14T10:35:03Z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E50A68F465284757A05437BEEF5209DD</vt:lpwstr>
  </property>
</Properties>
</file>