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 信通理财-圳元金年年盈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 xml:space="preserve">38 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2026年第一季度报告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一、理财产品基本信息</w:t>
      </w:r>
    </w:p>
    <w:tbl>
      <w:tblPr>
        <w:tblStyle w:val="8"/>
        <w:tblW w:w="8782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64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产品名称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信通理财-圳元金年年盈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理财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  <w:t>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ZYJ800838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登记编码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auto"/>
                <w:sz w:val="21"/>
                <w:szCs w:val="21"/>
                <w:lang w:eastAsia="zh-CN"/>
              </w:rPr>
              <w:t>C11096220000</w:t>
            </w:r>
            <w:r>
              <w:rPr>
                <w:rFonts w:hint="eastAsia" w:ascii="黑体" w:hAnsi="黑体" w:eastAsia="黑体"/>
                <w:color w:val="auto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，客户可依据本登记编码在中国理财网（www.chinawealth.com.cn）上查询产品信息。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产品类型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非保本浮动收益类净值型理财产品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本金及收益币种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人民币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报告期末产品总份额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default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141,633,400.00 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报告期末产品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存续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规模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 xml:space="preserve"> 141,926,110.33 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投资期限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以十二个月为一个投资周期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收益支付日及支付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每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十二个月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分配、按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周期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支付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2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托管人</w:t>
            </w:r>
          </w:p>
        </w:tc>
        <w:tc>
          <w:tcPr>
            <w:tcW w:w="649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widowControl/>
              <w:spacing w:line="480" w:lineRule="auto"/>
              <w:ind w:firstLine="105" w:firstLineChars="5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中国工商银行股份有限公司</w:t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深圳市分行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二、收益表现</w:t>
      </w:r>
    </w:p>
    <w:p>
      <w:pPr>
        <w:widowControl/>
        <w:spacing w:line="480" w:lineRule="auto"/>
        <w:ind w:firstLine="42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圳元金年年盈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理财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38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报告期内净值信息如下：</w:t>
      </w:r>
    </w:p>
    <w:tbl>
      <w:tblPr>
        <w:tblStyle w:val="8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4"/>
        <w:gridCol w:w="1276"/>
        <w:gridCol w:w="1842"/>
        <w:gridCol w:w="1728"/>
        <w:gridCol w:w="22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34" w:type="dxa"/>
            <w:tcBorders>
              <w:top w:val="single" w:color="000000" w:sz="8" w:space="0"/>
              <w:left w:val="single" w:color="000000" w:sz="8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净值日期</w:t>
            </w:r>
          </w:p>
        </w:tc>
        <w:tc>
          <w:tcPr>
            <w:tcW w:w="1276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产品编号</w:t>
            </w:r>
          </w:p>
        </w:tc>
        <w:tc>
          <w:tcPr>
            <w:tcW w:w="1842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业绩比较基准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份额净值</w:t>
            </w:r>
          </w:p>
        </w:tc>
        <w:tc>
          <w:tcPr>
            <w:tcW w:w="226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480" w:lineRule="auto"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</w:rPr>
              <w:t>产品累计净值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20260130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1.0617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1.1718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20260227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2.30%-3.10%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1.0384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auto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1.1485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20260331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</w:rPr>
              <w:t>ZYJ8008</w:t>
            </w:r>
            <w:r>
              <w:rPr>
                <w:rFonts w:hint="eastAsia" w:ascii="黑体" w:hAnsi="黑体" w:eastAsia="黑体" w:cs="宋体"/>
                <w:color w:val="333333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80" w:lineRule="auto"/>
              <w:ind w:firstLine="105" w:firstLineChars="0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  <w:t>2.15%-3.00%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1.0020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480" w:lineRule="auto"/>
              <w:rPr>
                <w:rFonts w:hint="eastAsia" w:ascii="黑体" w:hAnsi="黑体" w:eastAsia="黑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kern w:val="0"/>
                <w:sz w:val="21"/>
                <w:szCs w:val="21"/>
                <w:lang w:val="en-US" w:eastAsia="zh-CN"/>
              </w:rPr>
              <w:t xml:space="preserve">1.1430 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三、投资资产</w:t>
      </w:r>
    </w:p>
    <w:p>
      <w:pPr>
        <w:widowControl/>
        <w:spacing w:line="480" w:lineRule="auto"/>
        <w:jc w:val="left"/>
        <w:outlineLvl w:val="0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1.报告期末资产种类及比例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1688"/>
        <w:gridCol w:w="1701"/>
        <w:gridCol w:w="1319"/>
        <w:gridCol w:w="1515"/>
        <w:gridCol w:w="124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3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直接投资</w:t>
            </w:r>
          </w:p>
        </w:tc>
        <w:tc>
          <w:tcPr>
            <w:tcW w:w="27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间接投资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固定收益类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1,004.41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154,086,268.08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权益类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商品及金融衍生品类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1,004.41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0.00%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154,086,268.08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100.00%</w:t>
            </w:r>
          </w:p>
        </w:tc>
      </w:tr>
    </w:tbl>
    <w:p>
      <w:pPr>
        <w:widowControl/>
        <w:spacing w:line="24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 xml:space="preserve">注: 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占比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=资产余额/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穿透后的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产品总资产，占比结果保留两位小数（因第二位小数四舍五入，可能存在尾差）。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2.报告期末杆杠融资情况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9"/>
        <w:gridCol w:w="2896"/>
        <w:gridCol w:w="245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2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报告期末债券回购融资余额</w:t>
            </w:r>
          </w:p>
        </w:tc>
        <w:tc>
          <w:tcPr>
            <w:tcW w:w="2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11,196,948.97</w:t>
            </w:r>
          </w:p>
        </w:tc>
        <w:tc>
          <w:tcPr>
            <w:tcW w:w="2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</w:tr>
    </w:tbl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报告期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eastAsia="zh-CN"/>
        </w:rPr>
        <w:t>末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本产品债券回购融资余额未超过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资产净值的40%，本产品总资产未超过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该产品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资产净值的140%。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3.报告期末投资组合平均剩余期限分布比例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1"/>
        <w:gridCol w:w="2522"/>
        <w:gridCol w:w="2445"/>
        <w:gridCol w:w="2068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平均剩余期限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各期限资产占资产净值的比例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各期限负债占资产净值的比例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30天（含）以内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13.14%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31-90天（含）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2.90%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91天-180天（含）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10.50%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181天-365天（含）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7.13%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1年-3年（含）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42.54%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3年以上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32.37%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--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108.57%</w:t>
            </w:r>
          </w:p>
        </w:tc>
        <w:tc>
          <w:tcPr>
            <w:tcW w:w="20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7.89%</w:t>
            </w:r>
          </w:p>
        </w:tc>
      </w:tr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4.报告期末资产持仓前十基本信息</w:t>
      </w:r>
    </w:p>
    <w:tbl>
      <w:tblPr>
        <w:tblStyle w:val="8"/>
        <w:tblW w:w="833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5"/>
        <w:gridCol w:w="1433"/>
        <w:gridCol w:w="2482"/>
        <w:gridCol w:w="1630"/>
        <w:gridCol w:w="1766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资产类型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资产余额（元）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占资产净值的比例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23广晟EB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6,805,856.87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21人居债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6,675,033.30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4.70%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6,579,331.33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4.64%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26东证C2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6,553,334.07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4.62%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25国开11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6,426,342.71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4.53%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21平证Y1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5,329,845.64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3.76%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23鞍钢Y2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3,730,953.73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24中证Y3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3,679,700.30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23中金F2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3,396,315.46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2.39%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4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债券</w:t>
            </w:r>
          </w:p>
        </w:tc>
        <w:tc>
          <w:tcPr>
            <w:tcW w:w="2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23电建01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3,354,941.88 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2.36%</w:t>
            </w:r>
          </w:p>
        </w:tc>
      </w:tr>
    </w:tbl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5.报告期末投资于理财产品关联方发行、承销的证券</w:t>
      </w:r>
    </w:p>
    <w:tbl>
      <w:tblPr>
        <w:tblStyle w:val="8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347"/>
        <w:gridCol w:w="1202"/>
        <w:gridCol w:w="2467"/>
        <w:gridCol w:w="144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资产名称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投资金额（万元）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关联方名称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关联方角色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关联方类型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25鞍山钢铁MTN005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22.27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25北京银行永续债01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198.16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25工行永续债01BC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329.01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发行人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25建行二级资本债03BC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197.75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25平安银行永续债01BC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326.40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25中粮MTN007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328.70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25中行二级资本债03A(BC)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657.58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25中冶MTN015A</w:t>
            </w:r>
          </w:p>
        </w:tc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7.45 </w:t>
            </w:r>
          </w:p>
        </w:tc>
        <w:tc>
          <w:tcPr>
            <w:tcW w:w="2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中国工商银行股份有限公司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承销人</w:t>
            </w:r>
          </w:p>
        </w:tc>
        <w:tc>
          <w:tcPr>
            <w:tcW w:w="1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托管机构</w:t>
            </w:r>
          </w:p>
        </w:tc>
      </w:tr>
      <w:bookmarkEnd w:id="0"/>
    </w:tbl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注：上述披露信息为该产品本报告期末日终的投资情况；以上投资于管理人、托管人及其主要股东、控股公司等关联方发行或承销的证券符合理财产品的投资目标、投资策略和投资者利益优先原则，按照商业原则，以不优于对非关联方同类交易的条件进行。</w:t>
      </w:r>
    </w:p>
    <w:p>
      <w:pPr>
        <w:widowControl/>
        <w:spacing w:line="480" w:lineRule="auto"/>
        <w:jc w:val="both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default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四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</w:rPr>
        <w:t>、</w:t>
      </w: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投资组合的流动性风险分析</w:t>
      </w:r>
    </w:p>
    <w:p>
      <w:pPr>
        <w:widowControl/>
        <w:spacing w:line="480" w:lineRule="auto"/>
        <w:ind w:firstLine="420" w:firstLineChars="200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本产品以固定收益类资产为主要投资标的，报告期内，本理财产品严格遵守相关法律法规以及产品销售协议，所投资产组合的流动性与投资者赎回需求相匹配，报告期内未发生流动性风险。</w:t>
      </w: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  <w:t>投资账户信息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7"/>
        <w:gridCol w:w="2647"/>
        <w:gridCol w:w="3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账户类型</w:t>
            </w:r>
          </w:p>
        </w:tc>
        <w:tc>
          <w:tcPr>
            <w:tcW w:w="2647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户名</w:t>
            </w:r>
          </w:p>
        </w:tc>
        <w:tc>
          <w:tcPr>
            <w:tcW w:w="3228" w:type="dxa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1"/>
                <w:szCs w:val="21"/>
                <w:lang w:val="en-US" w:eastAsia="zh-CN"/>
              </w:rPr>
              <w:t>产品托管户</w:t>
            </w:r>
          </w:p>
        </w:tc>
        <w:tc>
          <w:tcPr>
            <w:tcW w:w="2647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深圳农村商业银行股份有限公司圳元金年年盈理财产品38</w:t>
            </w:r>
          </w:p>
        </w:tc>
        <w:tc>
          <w:tcPr>
            <w:tcW w:w="3228" w:type="dxa"/>
            <w:vAlign w:val="top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center"/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 w:val="0"/>
                <w:bCs w:val="0"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4000023029202507618</w:t>
            </w:r>
          </w:p>
        </w:tc>
      </w:tr>
    </w:tbl>
    <w:p>
      <w:pPr>
        <w:widowControl/>
        <w:numPr>
          <w:ilvl w:val="0"/>
          <w:numId w:val="0"/>
        </w:numPr>
        <w:spacing w:line="480" w:lineRule="auto"/>
        <w:jc w:val="left"/>
        <w:rPr>
          <w:rFonts w:hint="eastAsia" w:ascii="黑体" w:hAnsi="黑体" w:eastAsia="黑体" w:cs="黑体"/>
          <w:b/>
          <w:bCs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lef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深圳农村商业银行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股份有限公司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202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6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年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4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月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  <w:lang w:val="en-US" w:eastAsia="zh-CN"/>
        </w:rPr>
        <w:t>21</w:t>
      </w:r>
      <w:r>
        <w:rPr>
          <w:rFonts w:hint="eastAsia" w:ascii="黑体" w:hAnsi="黑体" w:eastAsia="黑体" w:cs="黑体"/>
          <w:color w:val="auto"/>
          <w:kern w:val="0"/>
          <w:sz w:val="21"/>
          <w:szCs w:val="21"/>
        </w:rPr>
        <w:t>日</w:t>
      </w:r>
    </w:p>
    <w:p>
      <w:pPr>
        <w:widowControl/>
        <w:spacing w:line="480" w:lineRule="auto"/>
        <w:jc w:val="right"/>
        <w:rPr>
          <w:rFonts w:hint="eastAsia" w:ascii="黑体" w:hAnsi="黑体" w:eastAsia="黑体" w:cs="黑体"/>
          <w:color w:val="auto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D8D86"/>
    <w:multiLevelType w:val="singleLevel"/>
    <w:tmpl w:val="2B5D8D8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1MDg0MWJiMzY5OTc3YmY2NDJkYzA3ZDQwYTU0ZjcifQ=="/>
  </w:docVars>
  <w:rsids>
    <w:rsidRoot w:val="00487C9E"/>
    <w:rsid w:val="0000104C"/>
    <w:rsid w:val="00040399"/>
    <w:rsid w:val="0005281C"/>
    <w:rsid w:val="00062668"/>
    <w:rsid w:val="00070139"/>
    <w:rsid w:val="00084E2A"/>
    <w:rsid w:val="00097918"/>
    <w:rsid w:val="000C3CC3"/>
    <w:rsid w:val="000C5782"/>
    <w:rsid w:val="000D0B6C"/>
    <w:rsid w:val="00110D1D"/>
    <w:rsid w:val="00113705"/>
    <w:rsid w:val="00113D12"/>
    <w:rsid w:val="00130E35"/>
    <w:rsid w:val="00141F61"/>
    <w:rsid w:val="00144F82"/>
    <w:rsid w:val="00160D33"/>
    <w:rsid w:val="001A0954"/>
    <w:rsid w:val="001A25D7"/>
    <w:rsid w:val="001B38C6"/>
    <w:rsid w:val="001C076B"/>
    <w:rsid w:val="001C14C2"/>
    <w:rsid w:val="00250A7E"/>
    <w:rsid w:val="00263100"/>
    <w:rsid w:val="0028673D"/>
    <w:rsid w:val="002D7D6D"/>
    <w:rsid w:val="002E4FBD"/>
    <w:rsid w:val="002F5441"/>
    <w:rsid w:val="00304BF9"/>
    <w:rsid w:val="00335702"/>
    <w:rsid w:val="00355F2D"/>
    <w:rsid w:val="003B26F0"/>
    <w:rsid w:val="003C2BAE"/>
    <w:rsid w:val="003C50A1"/>
    <w:rsid w:val="003C7E40"/>
    <w:rsid w:val="003F1320"/>
    <w:rsid w:val="00487C9E"/>
    <w:rsid w:val="004E7534"/>
    <w:rsid w:val="00515564"/>
    <w:rsid w:val="00525034"/>
    <w:rsid w:val="00573D79"/>
    <w:rsid w:val="005859D4"/>
    <w:rsid w:val="005B3B6E"/>
    <w:rsid w:val="005C7423"/>
    <w:rsid w:val="005D4AD1"/>
    <w:rsid w:val="00682281"/>
    <w:rsid w:val="00696584"/>
    <w:rsid w:val="006A2F15"/>
    <w:rsid w:val="006D520C"/>
    <w:rsid w:val="007224C7"/>
    <w:rsid w:val="00733747"/>
    <w:rsid w:val="00734E4B"/>
    <w:rsid w:val="00740298"/>
    <w:rsid w:val="00764E59"/>
    <w:rsid w:val="00766410"/>
    <w:rsid w:val="007731FC"/>
    <w:rsid w:val="00780B1A"/>
    <w:rsid w:val="007B616D"/>
    <w:rsid w:val="007C2368"/>
    <w:rsid w:val="007F2511"/>
    <w:rsid w:val="007F5D10"/>
    <w:rsid w:val="00840A8A"/>
    <w:rsid w:val="00851107"/>
    <w:rsid w:val="008612C2"/>
    <w:rsid w:val="00867136"/>
    <w:rsid w:val="00887FF6"/>
    <w:rsid w:val="008C3D56"/>
    <w:rsid w:val="009132C8"/>
    <w:rsid w:val="00947B5B"/>
    <w:rsid w:val="00950E93"/>
    <w:rsid w:val="00951184"/>
    <w:rsid w:val="00957929"/>
    <w:rsid w:val="009B2AA6"/>
    <w:rsid w:val="00A0333C"/>
    <w:rsid w:val="00A05174"/>
    <w:rsid w:val="00A152EC"/>
    <w:rsid w:val="00A55592"/>
    <w:rsid w:val="00AD30A1"/>
    <w:rsid w:val="00AD407E"/>
    <w:rsid w:val="00B03202"/>
    <w:rsid w:val="00B059D6"/>
    <w:rsid w:val="00B165B1"/>
    <w:rsid w:val="00B631BB"/>
    <w:rsid w:val="00B70C46"/>
    <w:rsid w:val="00BC5826"/>
    <w:rsid w:val="00BF6B04"/>
    <w:rsid w:val="00C20018"/>
    <w:rsid w:val="00C36473"/>
    <w:rsid w:val="00C607EF"/>
    <w:rsid w:val="00C632A6"/>
    <w:rsid w:val="00C943C1"/>
    <w:rsid w:val="00CC0765"/>
    <w:rsid w:val="00CD1230"/>
    <w:rsid w:val="00D11D00"/>
    <w:rsid w:val="00D20E8D"/>
    <w:rsid w:val="00D4372E"/>
    <w:rsid w:val="00DA5006"/>
    <w:rsid w:val="00DC7F96"/>
    <w:rsid w:val="00E53426"/>
    <w:rsid w:val="00ED156C"/>
    <w:rsid w:val="00ED7C3D"/>
    <w:rsid w:val="00F429BA"/>
    <w:rsid w:val="00F54F9A"/>
    <w:rsid w:val="00F81270"/>
    <w:rsid w:val="00F81D4D"/>
    <w:rsid w:val="00F9466B"/>
    <w:rsid w:val="00F9602A"/>
    <w:rsid w:val="00FA2DA8"/>
    <w:rsid w:val="00FB2127"/>
    <w:rsid w:val="00FB40C4"/>
    <w:rsid w:val="00FD3432"/>
    <w:rsid w:val="00FF7A79"/>
    <w:rsid w:val="011814AA"/>
    <w:rsid w:val="026F27BB"/>
    <w:rsid w:val="02ED592F"/>
    <w:rsid w:val="04365012"/>
    <w:rsid w:val="04B045C6"/>
    <w:rsid w:val="04B1778E"/>
    <w:rsid w:val="077C087A"/>
    <w:rsid w:val="08950B15"/>
    <w:rsid w:val="091B6265"/>
    <w:rsid w:val="09291EA3"/>
    <w:rsid w:val="0A546119"/>
    <w:rsid w:val="0B4533DE"/>
    <w:rsid w:val="0C7C779E"/>
    <w:rsid w:val="0CB04A1A"/>
    <w:rsid w:val="0D8B5561"/>
    <w:rsid w:val="0D8E450D"/>
    <w:rsid w:val="0E6E5E9E"/>
    <w:rsid w:val="0F5B5179"/>
    <w:rsid w:val="0FCB579C"/>
    <w:rsid w:val="104C79E9"/>
    <w:rsid w:val="10DB17E6"/>
    <w:rsid w:val="130013FA"/>
    <w:rsid w:val="14637B55"/>
    <w:rsid w:val="14E54E9B"/>
    <w:rsid w:val="15071238"/>
    <w:rsid w:val="175F45B7"/>
    <w:rsid w:val="17C674D3"/>
    <w:rsid w:val="18E07B79"/>
    <w:rsid w:val="192F282B"/>
    <w:rsid w:val="19942E89"/>
    <w:rsid w:val="1ADD6CD2"/>
    <w:rsid w:val="1C1A75C0"/>
    <w:rsid w:val="1CF8290D"/>
    <w:rsid w:val="1E5C37CA"/>
    <w:rsid w:val="1F314840"/>
    <w:rsid w:val="20935426"/>
    <w:rsid w:val="21A47663"/>
    <w:rsid w:val="2222403B"/>
    <w:rsid w:val="225A4BD6"/>
    <w:rsid w:val="23FB2AFA"/>
    <w:rsid w:val="2474158A"/>
    <w:rsid w:val="24986533"/>
    <w:rsid w:val="256356AB"/>
    <w:rsid w:val="25EE3155"/>
    <w:rsid w:val="269C1DB1"/>
    <w:rsid w:val="269C4517"/>
    <w:rsid w:val="26D32F16"/>
    <w:rsid w:val="26D46984"/>
    <w:rsid w:val="26F868F6"/>
    <w:rsid w:val="2C0B7ABB"/>
    <w:rsid w:val="2C5245F9"/>
    <w:rsid w:val="2C604CFD"/>
    <w:rsid w:val="2CE65D4A"/>
    <w:rsid w:val="2CF86F6C"/>
    <w:rsid w:val="2E38185D"/>
    <w:rsid w:val="307B5EAB"/>
    <w:rsid w:val="309045F9"/>
    <w:rsid w:val="31275DB1"/>
    <w:rsid w:val="3258664C"/>
    <w:rsid w:val="32B87442"/>
    <w:rsid w:val="33DD360D"/>
    <w:rsid w:val="35221AE9"/>
    <w:rsid w:val="36361292"/>
    <w:rsid w:val="386055AE"/>
    <w:rsid w:val="3A320E69"/>
    <w:rsid w:val="3B3D4BF3"/>
    <w:rsid w:val="3BC05242"/>
    <w:rsid w:val="3BCB3388"/>
    <w:rsid w:val="3CAD12A4"/>
    <w:rsid w:val="3DF064DB"/>
    <w:rsid w:val="3E3902BB"/>
    <w:rsid w:val="3E52708B"/>
    <w:rsid w:val="3E5F2817"/>
    <w:rsid w:val="3F913AED"/>
    <w:rsid w:val="3FF872DE"/>
    <w:rsid w:val="41863A1B"/>
    <w:rsid w:val="419661DE"/>
    <w:rsid w:val="41B00AE5"/>
    <w:rsid w:val="43632430"/>
    <w:rsid w:val="45E15A3B"/>
    <w:rsid w:val="46317436"/>
    <w:rsid w:val="468F4626"/>
    <w:rsid w:val="47140486"/>
    <w:rsid w:val="471C5A5C"/>
    <w:rsid w:val="49C57F08"/>
    <w:rsid w:val="4A967308"/>
    <w:rsid w:val="4B1010E0"/>
    <w:rsid w:val="4B2D6211"/>
    <w:rsid w:val="4B8C01DC"/>
    <w:rsid w:val="4D146CD1"/>
    <w:rsid w:val="4D1B3FA7"/>
    <w:rsid w:val="4DB25C0B"/>
    <w:rsid w:val="4E5D130A"/>
    <w:rsid w:val="4F1A043E"/>
    <w:rsid w:val="4F3A492D"/>
    <w:rsid w:val="4FF4424F"/>
    <w:rsid w:val="508771BD"/>
    <w:rsid w:val="525844E9"/>
    <w:rsid w:val="52916310"/>
    <w:rsid w:val="538B70A4"/>
    <w:rsid w:val="541944C0"/>
    <w:rsid w:val="54602532"/>
    <w:rsid w:val="54BC5C59"/>
    <w:rsid w:val="557053D2"/>
    <w:rsid w:val="559F3B48"/>
    <w:rsid w:val="55C2770C"/>
    <w:rsid w:val="5607779B"/>
    <w:rsid w:val="567E795B"/>
    <w:rsid w:val="568250B2"/>
    <w:rsid w:val="56CD7180"/>
    <w:rsid w:val="5A773920"/>
    <w:rsid w:val="5C3D4A45"/>
    <w:rsid w:val="5D7921FA"/>
    <w:rsid w:val="5E19039A"/>
    <w:rsid w:val="5E6B47A2"/>
    <w:rsid w:val="5EBE4239"/>
    <w:rsid w:val="61282427"/>
    <w:rsid w:val="61A80DA1"/>
    <w:rsid w:val="63702285"/>
    <w:rsid w:val="64521FA7"/>
    <w:rsid w:val="64712F05"/>
    <w:rsid w:val="66515502"/>
    <w:rsid w:val="6783330B"/>
    <w:rsid w:val="6A6871B9"/>
    <w:rsid w:val="6A956B9D"/>
    <w:rsid w:val="6AA878FD"/>
    <w:rsid w:val="6B1F02A2"/>
    <w:rsid w:val="6BBE5589"/>
    <w:rsid w:val="6CB00EF6"/>
    <w:rsid w:val="6D7638E1"/>
    <w:rsid w:val="6F753458"/>
    <w:rsid w:val="71D03ED8"/>
    <w:rsid w:val="71F51C2E"/>
    <w:rsid w:val="72E26BB4"/>
    <w:rsid w:val="72EE345D"/>
    <w:rsid w:val="747D3B75"/>
    <w:rsid w:val="75C00731"/>
    <w:rsid w:val="7650203B"/>
    <w:rsid w:val="76D95B16"/>
    <w:rsid w:val="784D2126"/>
    <w:rsid w:val="7CD04EB4"/>
    <w:rsid w:val="7D2B49B9"/>
    <w:rsid w:val="7DD234D5"/>
    <w:rsid w:val="7E7C1A93"/>
    <w:rsid w:val="7E990276"/>
    <w:rsid w:val="7EED10C2"/>
    <w:rsid w:val="7EFD6AC4"/>
    <w:rsid w:val="7F2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2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semiHidden/>
    <w:unhideWhenUsed/>
    <w:qFormat/>
    <w:uiPriority w:val="99"/>
    <w:rPr>
      <w:color w:val="337AB7"/>
      <w:u w:val="none"/>
      <w:shd w:val="clear" w:color="auto" w:fill="auto"/>
    </w:rPr>
  </w:style>
  <w:style w:type="paragraph" w:customStyle="1" w:styleId="12">
    <w:name w:val="related-article-recommend-content-title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paragraph" w:customStyle="1" w:styleId="13">
    <w:name w:val="p0"/>
    <w:basedOn w:val="1"/>
    <w:qFormat/>
    <w:uiPriority w:val="0"/>
    <w:pPr>
      <w:widowControl/>
      <w:spacing w:line="300" w:lineRule="atLeast"/>
      <w:jc w:val="left"/>
    </w:pPr>
    <w:rPr>
      <w:rFonts w:ascii="宋体" w:hAnsi="宋体" w:eastAsia="宋体" w:cs="宋体"/>
      <w:kern w:val="0"/>
      <w:szCs w:val="21"/>
    </w:rPr>
  </w:style>
  <w:style w:type="character" w:customStyle="1" w:styleId="14">
    <w:name w:val="item-label3"/>
    <w:basedOn w:val="10"/>
    <w:qFormat/>
    <w:uiPriority w:val="0"/>
    <w:rPr>
      <w:color w:val="555E6A"/>
    </w:rPr>
  </w:style>
  <w:style w:type="paragraph" w:customStyle="1" w:styleId="15">
    <w:name w:val="HTML Top of Form"/>
    <w:basedOn w:val="1"/>
    <w:next w:val="1"/>
    <w:link w:val="16"/>
    <w:semiHidden/>
    <w:unhideWhenUsed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6">
    <w:name w:val="z-窗体顶端 Char"/>
    <w:basedOn w:val="10"/>
    <w:link w:val="15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paragraph" w:customStyle="1" w:styleId="17">
    <w:name w:val="HTML Bottom of Form"/>
    <w:basedOn w:val="1"/>
    <w:next w:val="1"/>
    <w:link w:val="18"/>
    <w:semiHidden/>
    <w:unhideWhenUsed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eastAsia="宋体" w:cs="Arial"/>
      <w:vanish/>
      <w:kern w:val="0"/>
      <w:sz w:val="16"/>
      <w:szCs w:val="16"/>
    </w:rPr>
  </w:style>
  <w:style w:type="character" w:customStyle="1" w:styleId="18">
    <w:name w:val="z-窗体底端 Char"/>
    <w:basedOn w:val="10"/>
    <w:link w:val="17"/>
    <w:semiHidden/>
    <w:qFormat/>
    <w:uiPriority w:val="99"/>
    <w:rPr>
      <w:rFonts w:ascii="Arial" w:hAnsi="Arial" w:eastAsia="宋体" w:cs="Arial"/>
      <w:vanish/>
      <w:kern w:val="0"/>
      <w:sz w:val="16"/>
      <w:szCs w:val="16"/>
    </w:rPr>
  </w:style>
  <w:style w:type="character" w:customStyle="1" w:styleId="19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20">
    <w:name w:val="页眉 Char"/>
    <w:basedOn w:val="10"/>
    <w:link w:val="6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0"/>
    <w:link w:val="5"/>
    <w:semiHidden/>
    <w:qFormat/>
    <w:uiPriority w:val="99"/>
    <w:rPr>
      <w:sz w:val="18"/>
      <w:szCs w:val="18"/>
    </w:rPr>
  </w:style>
  <w:style w:type="character" w:customStyle="1" w:styleId="22">
    <w:name w:val="文档结构图 Char"/>
    <w:basedOn w:val="10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1869</Words>
  <Characters>2643</Characters>
  <Lines>29</Lines>
  <Paragraphs>8</Paragraphs>
  <TotalTime>0</TotalTime>
  <ScaleCrop>false</ScaleCrop>
  <LinksUpToDate>false</LinksUpToDate>
  <CharactersWithSpaces>2695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2020-08-17T08:54:00Z</dcterms:created>
  <dc:creator>Lenovo</dc:creator>
  <cp:lastModifiedBy>李思远</cp:lastModifiedBy>
  <cp:lastPrinted>2021-10-25T06:40:00Z</cp:lastPrinted>
  <dcterms:modified xsi:type="dcterms:W3CDTF">2026-04-14T10:21:12Z</dcterms:modified>
  <dc:title> 信通理财-圳元金年年盈理财产品38 2023年年度报告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F7E7797FC5B147379485ED762C1C7DEE</vt:lpwstr>
  </property>
  <property fmtid="{D5CDD505-2E9C-101B-9397-08002B2CF9AE}" pid="4" name="KSOTemplateDocerSaveRecord">
    <vt:lpwstr>eyJoZGlkIjoiZjkwZTQ5Mzc5MzY0NTAxNTAyMjQ3NWVlOTZjMjU0ODEiLCJ1c2VySWQiOiI4MjMyODc2MTMifQ==</vt:lpwstr>
  </property>
</Properties>
</file>