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kern w:val="0"/>
          <w:szCs w:val="21"/>
        </w:rPr>
      </w:pPr>
      <w:r>
        <w:rPr>
          <w:rFonts w:hint="eastAsia" w:ascii="黑体" w:hAnsi="黑体" w:eastAsia="黑体" w:cs="黑体"/>
          <w:b/>
          <w:bCs/>
          <w:kern w:val="0"/>
          <w:szCs w:val="21"/>
        </w:rPr>
        <w:t xml:space="preserve"> 信通理财-圳元金年年盈理财产品37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2026年第一季度报告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b/>
          <w:bCs/>
          <w:kern w:val="0"/>
          <w:szCs w:val="21"/>
        </w:rPr>
        <w:t>一、理财产品基本信息</w:t>
      </w:r>
    </w:p>
    <w:tbl>
      <w:tblPr>
        <w:tblStyle w:val="8"/>
        <w:tblW w:w="8782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6"/>
        <w:gridCol w:w="64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产品名称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信通理财-圳元金年年盈理财产品37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产品编号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ZYJ800837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登记编码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C1109622000008</w:t>
            </w:r>
            <w:r>
              <w:rPr>
                <w:rFonts w:hint="eastAsia" w:ascii="黑体" w:hAnsi="黑体" w:eastAsia="黑体" w:cs="黑体"/>
                <w:kern w:val="0"/>
                <w:szCs w:val="21"/>
              </w:rPr>
              <w:t>，客户可依据本登记编码在中国理财网（www.chinawealth.com.cn）上查询产品信息。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产品类型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非保本浮动收益类净值型理财产品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本金及收益币种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人民币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报告期末产品总份额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hint="eastAsia" w:ascii="黑体" w:hAnsi="宋体" w:eastAsia="黑体" w:cs="黑体"/>
                <w:color w:val="FF0000"/>
                <w:sz w:val="22"/>
              </w:rPr>
            </w:pPr>
            <w:r>
              <w:rPr>
                <w:rFonts w:hint="eastAsia" w:ascii="黑体" w:hAnsi="宋体" w:eastAsia="黑体" w:cs="黑体"/>
                <w:kern w:val="0"/>
                <w:sz w:val="22"/>
                <w:lang w:bidi="ar"/>
              </w:rPr>
              <w:t xml:space="preserve"> 109,488,100.00 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报告期末产品存续规模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10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宋体" w:eastAsia="黑体" w:cs="黑体"/>
                <w:kern w:val="0"/>
                <w:sz w:val="22"/>
                <w:lang w:bidi="ar"/>
              </w:rPr>
              <w:t>109,743,530.45 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投资期限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以十二个月为一个投资周期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收益支付日及支付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每十二个月分配、按周期支付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托管人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中国工商银行股份有限公司深圳市分行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kern w:val="0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b/>
          <w:bCs/>
          <w:kern w:val="0"/>
          <w:szCs w:val="21"/>
        </w:rPr>
        <w:t>二、收益表现</w:t>
      </w:r>
    </w:p>
    <w:p>
      <w:pPr>
        <w:widowControl/>
        <w:spacing w:line="480" w:lineRule="auto"/>
        <w:ind w:firstLine="420"/>
        <w:jc w:val="left"/>
        <w:rPr>
          <w:rFonts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圳元金年年盈理财产品37报告期内净值信息如下：</w:t>
      </w:r>
    </w:p>
    <w:tbl>
      <w:tblPr>
        <w:tblStyle w:val="8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76"/>
        <w:gridCol w:w="1842"/>
        <w:gridCol w:w="1728"/>
        <w:gridCol w:w="2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净值日期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产品编号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/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业绩比较基准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份额净值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</w:rPr>
              <w:t>产品累计净值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20260130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37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2.30%-3.10%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1.0276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1.1394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20260227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ZYJ800837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2.15%-3.00%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1.0000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1.1343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20260331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ZYJ800837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2.15%-3.00%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1.0023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1.1366 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kern w:val="0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b/>
          <w:bCs/>
          <w:kern w:val="0"/>
          <w:szCs w:val="21"/>
        </w:rPr>
        <w:t>三、投资资产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1.报告期末资产种类及比例</w:t>
      </w:r>
    </w:p>
    <w:tbl>
      <w:tblPr>
        <w:tblStyle w:val="8"/>
        <w:tblW w:w="833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0"/>
        <w:gridCol w:w="1688"/>
        <w:gridCol w:w="1701"/>
        <w:gridCol w:w="1319"/>
        <w:gridCol w:w="1515"/>
        <w:gridCol w:w="124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3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27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间接投资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固定收益类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1,003.99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112,878,734.76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权益类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商品及金融衍生品类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color w:val="000000"/>
                <w:sz w:val="22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1,003.99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112,878,734.76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</w:tbl>
    <w:p>
      <w:pPr>
        <w:widowControl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注: 占比=资产余额/穿透后的产品总资产，占比结果保留两位小数（因第二位小数四舍五入，可能存在尾差）。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2.报告期末杆杠融资情况</w:t>
      </w:r>
    </w:p>
    <w:tbl>
      <w:tblPr>
        <w:tblStyle w:val="8"/>
        <w:tblW w:w="833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9"/>
        <w:gridCol w:w="2896"/>
        <w:gridCol w:w="245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占资产净值比例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报告期末债券回购融资余额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3,069,055.23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2.80%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报告期末本产品债券回购融资余额未超过该产品资产净值的40%，本产品总资产未超过该产品资产净值的140%。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3.报告期末投资组合平均剩余期限分布比例</w:t>
      </w:r>
    </w:p>
    <w:tbl>
      <w:tblPr>
        <w:tblStyle w:val="8"/>
        <w:tblW w:w="833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2522"/>
        <w:gridCol w:w="2445"/>
        <w:gridCol w:w="206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平均剩余期限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各期限资产占资产净值的比例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各期限负债占资产净值的比例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30天（含）以内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31-90天（含）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2.38%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91天-180天（含）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10.27%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181天-365天（含）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5.17%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1年-3年（含）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58.45%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3年以上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20.59%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color w:val="000000"/>
                <w:sz w:val="22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b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102.86%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2.80%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kern w:val="0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4.报告期末资产持仓前十基本信息</w:t>
      </w:r>
    </w:p>
    <w:tbl>
      <w:tblPr>
        <w:tblStyle w:val="8"/>
        <w:tblW w:w="833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5"/>
        <w:gridCol w:w="1523"/>
        <w:gridCol w:w="2392"/>
        <w:gridCol w:w="1630"/>
        <w:gridCol w:w="176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资产类型</w:t>
            </w:r>
          </w:p>
        </w:tc>
        <w:tc>
          <w:tcPr>
            <w:tcW w:w="2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占资产净值的比例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25国开11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4,070,518.06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3.71%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23广晟EB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1,865,468.05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21人居债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1,829,609.65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1.67%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25中行二级资本债03A(BC)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1,803,377.98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1.64%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26东证C2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1,796,252.20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1.64%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23鞍钢Y2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1,761,710.25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1.61%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24中证Y3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1,733,508.11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1.58%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大唐YK06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1,662,821.01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1.52%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24兴业09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1,659,685.45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1.51%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24东证08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1,654,710.67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2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1.51%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5.报告期末投资于理财产品关联方发行、承销的证券</w:t>
      </w:r>
    </w:p>
    <w:tbl>
      <w:tblPr>
        <w:tblStyle w:val="8"/>
        <w:tblW w:w="652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2271"/>
        <w:gridCol w:w="974"/>
        <w:gridCol w:w="2812"/>
        <w:gridCol w:w="865"/>
        <w:gridCol w:w="108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投资金额（万元）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关联方名称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关联方角色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关联方类型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25鞍山钢铁MTN005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49.33 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25北京银行永续债01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54.31 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25工行永续债01BC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90.18 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25建行二级资本债03BC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54.20 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25平安银行永续债01BC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89.46 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25中粮MTN007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90.10 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25中行二级资本债03A(BC)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180.24 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bookmarkStart w:id="0" w:name="_GoBack"/>
            <w:bookmarkEnd w:id="0"/>
          </w:p>
        </w:tc>
        <w:tc>
          <w:tcPr>
            <w:tcW w:w="2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25中冶MTN015A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16.49 </w:t>
            </w:r>
          </w:p>
        </w:tc>
        <w:tc>
          <w:tcPr>
            <w:tcW w:w="2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注：上述披露信息为该产品本报告期末日终的投资情况；以上投资于管理人、托管人及其主要股东、控股公司等关联方发行或承销的证券符合理财产品的投资目标、投资策略和投资者利益优先原则，按照商业原则，以不优于对非关联方同类交易的条件进行。</w:t>
      </w:r>
    </w:p>
    <w:p>
      <w:pPr>
        <w:widowControl/>
        <w:spacing w:line="480" w:lineRule="auto"/>
        <w:rPr>
          <w:rFonts w:hint="eastAsia" w:ascii="黑体" w:hAnsi="黑体" w:eastAsia="黑体" w:cs="黑体"/>
          <w:kern w:val="0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b/>
          <w:bCs/>
          <w:kern w:val="0"/>
          <w:szCs w:val="21"/>
        </w:rPr>
        <w:t>四、投资组合的流动性风险分析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本产品以固定收益类资产为主要投资标的，报告期内，本理财产品严格遵守相关法律法规以及产品销售协议，所投资产组合的流动性与投资者赎回需求相匹配，报告期内未发生流动性风险。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kern w:val="0"/>
          <w:szCs w:val="21"/>
        </w:rPr>
      </w:pPr>
    </w:p>
    <w:p>
      <w:pPr>
        <w:widowControl/>
        <w:numPr>
          <w:ilvl w:val="0"/>
          <w:numId w:val="1"/>
        </w:numPr>
        <w:spacing w:line="480" w:lineRule="auto"/>
        <w:jc w:val="left"/>
        <w:rPr>
          <w:rFonts w:hint="eastAsia" w:ascii="黑体" w:hAnsi="黑体" w:eastAsia="黑体" w:cs="黑体"/>
          <w:b/>
          <w:bCs/>
          <w:kern w:val="0"/>
          <w:szCs w:val="21"/>
        </w:rPr>
      </w:pPr>
      <w:r>
        <w:rPr>
          <w:rFonts w:hint="eastAsia" w:ascii="黑体" w:hAnsi="黑体" w:eastAsia="黑体" w:cs="黑体"/>
          <w:b/>
          <w:bCs/>
          <w:kern w:val="0"/>
          <w:szCs w:val="21"/>
        </w:rPr>
        <w:t>投资账户信息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7"/>
        <w:gridCol w:w="2647"/>
        <w:gridCol w:w="3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widowControl/>
              <w:spacing w:line="480" w:lineRule="auto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账户类型</w:t>
            </w:r>
          </w:p>
        </w:tc>
        <w:tc>
          <w:tcPr>
            <w:tcW w:w="2647" w:type="dxa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户名</w:t>
            </w:r>
          </w:p>
        </w:tc>
        <w:tc>
          <w:tcPr>
            <w:tcW w:w="3228" w:type="dxa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47" w:type="dxa"/>
            <w:vAlign w:val="center"/>
          </w:tcPr>
          <w:p>
            <w:pPr>
              <w:widowControl/>
              <w:spacing w:line="480" w:lineRule="auto"/>
              <w:jc w:val="left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</w:rPr>
              <w:t>产品托管户</w:t>
            </w:r>
          </w:p>
        </w:tc>
        <w:tc>
          <w:tcPr>
            <w:tcW w:w="2647" w:type="dxa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ascii="黑体" w:hAnsi="黑体" w:eastAsia="黑体" w:cs="黑体"/>
                <w:kern w:val="0"/>
                <w:szCs w:val="21"/>
              </w:rPr>
              <w:t>深圳农村商业银行股份有限公司圳元金年年盈理财产品37</w:t>
            </w:r>
          </w:p>
        </w:tc>
        <w:tc>
          <w:tcPr>
            <w:tcW w:w="3228" w:type="dxa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Cs w:val="21"/>
              </w:rPr>
            </w:pPr>
            <w:r>
              <w:rPr>
                <w:rFonts w:ascii="黑体" w:hAnsi="黑体" w:eastAsia="黑体" w:cs="黑体"/>
                <w:kern w:val="0"/>
                <w:szCs w:val="21"/>
              </w:rPr>
              <w:t>4000023029202507591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kern w:val="0"/>
          <w:szCs w:val="21"/>
        </w:rPr>
      </w:pP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深圳农村商业银行股份有限公司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kern w:val="0"/>
          <w:szCs w:val="21"/>
        </w:rPr>
      </w:pPr>
      <w:r>
        <w:rPr>
          <w:rFonts w:hint="eastAsia" w:ascii="黑体" w:hAnsi="黑体" w:eastAsia="黑体" w:cs="黑体"/>
          <w:kern w:val="0"/>
          <w:szCs w:val="21"/>
        </w:rPr>
        <w:t>2026年</w:t>
      </w:r>
      <w:r>
        <w:rPr>
          <w:rFonts w:hint="eastAsia" w:ascii="黑体" w:hAnsi="黑体" w:eastAsia="黑体" w:cs="黑体"/>
          <w:kern w:val="0"/>
          <w:szCs w:val="21"/>
          <w:lang w:val="en-US" w:eastAsia="zh-CN"/>
        </w:rPr>
        <w:t>4</w:t>
      </w:r>
      <w:r>
        <w:rPr>
          <w:rFonts w:hint="eastAsia" w:ascii="黑体" w:hAnsi="黑体" w:eastAsia="黑体" w:cs="黑体"/>
          <w:kern w:val="0"/>
          <w:szCs w:val="21"/>
        </w:rPr>
        <w:t>月21日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kern w:val="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5D8D86"/>
    <w:multiLevelType w:val="singleLevel"/>
    <w:tmpl w:val="2B5D8D8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MDg0MWJiMzY5OTc3YmY2NDJkYzA3ZDQwYTU0ZjcifQ=="/>
  </w:docVars>
  <w:rsids>
    <w:rsidRoot w:val="00487C9E"/>
    <w:rsid w:val="0000104C"/>
    <w:rsid w:val="00040399"/>
    <w:rsid w:val="0005281C"/>
    <w:rsid w:val="00062668"/>
    <w:rsid w:val="00070139"/>
    <w:rsid w:val="00084E2A"/>
    <w:rsid w:val="00097918"/>
    <w:rsid w:val="000C3CC3"/>
    <w:rsid w:val="000C5782"/>
    <w:rsid w:val="000D0B6C"/>
    <w:rsid w:val="00110D1D"/>
    <w:rsid w:val="00113705"/>
    <w:rsid w:val="00113D12"/>
    <w:rsid w:val="00130E35"/>
    <w:rsid w:val="00141F61"/>
    <w:rsid w:val="00144F82"/>
    <w:rsid w:val="00160D33"/>
    <w:rsid w:val="001A0954"/>
    <w:rsid w:val="001A25D7"/>
    <w:rsid w:val="001B38C6"/>
    <w:rsid w:val="001C076B"/>
    <w:rsid w:val="001C14C2"/>
    <w:rsid w:val="00250A7E"/>
    <w:rsid w:val="00262DA9"/>
    <w:rsid w:val="00263100"/>
    <w:rsid w:val="0028673D"/>
    <w:rsid w:val="002D7D6D"/>
    <w:rsid w:val="002E4FBD"/>
    <w:rsid w:val="002F5441"/>
    <w:rsid w:val="00304BF9"/>
    <w:rsid w:val="00335702"/>
    <w:rsid w:val="003474E6"/>
    <w:rsid w:val="00355F2D"/>
    <w:rsid w:val="003B26F0"/>
    <w:rsid w:val="003C2BAE"/>
    <w:rsid w:val="003C50A1"/>
    <w:rsid w:val="003C7E40"/>
    <w:rsid w:val="003F1320"/>
    <w:rsid w:val="00450B6B"/>
    <w:rsid w:val="0046573C"/>
    <w:rsid w:val="00487C9E"/>
    <w:rsid w:val="004E7534"/>
    <w:rsid w:val="00515564"/>
    <w:rsid w:val="00525034"/>
    <w:rsid w:val="00573D79"/>
    <w:rsid w:val="005859D4"/>
    <w:rsid w:val="005B3B6E"/>
    <w:rsid w:val="005C7423"/>
    <w:rsid w:val="005D4AD1"/>
    <w:rsid w:val="006470EF"/>
    <w:rsid w:val="00682281"/>
    <w:rsid w:val="00696584"/>
    <w:rsid w:val="006A2F15"/>
    <w:rsid w:val="006D520C"/>
    <w:rsid w:val="007224C7"/>
    <w:rsid w:val="00733747"/>
    <w:rsid w:val="00734E4B"/>
    <w:rsid w:val="00740298"/>
    <w:rsid w:val="00764E59"/>
    <w:rsid w:val="00766410"/>
    <w:rsid w:val="007731FC"/>
    <w:rsid w:val="00780B1A"/>
    <w:rsid w:val="007B616D"/>
    <w:rsid w:val="007C2368"/>
    <w:rsid w:val="007F2511"/>
    <w:rsid w:val="007F5D10"/>
    <w:rsid w:val="00840A8A"/>
    <w:rsid w:val="00851107"/>
    <w:rsid w:val="008612C2"/>
    <w:rsid w:val="00867136"/>
    <w:rsid w:val="00887FF6"/>
    <w:rsid w:val="008C3D56"/>
    <w:rsid w:val="009132C8"/>
    <w:rsid w:val="00947B5B"/>
    <w:rsid w:val="00950E93"/>
    <w:rsid w:val="00951184"/>
    <w:rsid w:val="00957929"/>
    <w:rsid w:val="009B2AA6"/>
    <w:rsid w:val="00A0333C"/>
    <w:rsid w:val="00A05174"/>
    <w:rsid w:val="00A152EC"/>
    <w:rsid w:val="00A55592"/>
    <w:rsid w:val="00AD30A1"/>
    <w:rsid w:val="00AD407E"/>
    <w:rsid w:val="00B03202"/>
    <w:rsid w:val="00B059D6"/>
    <w:rsid w:val="00B165B1"/>
    <w:rsid w:val="00B631BB"/>
    <w:rsid w:val="00B70C46"/>
    <w:rsid w:val="00BC5826"/>
    <w:rsid w:val="00BF6B04"/>
    <w:rsid w:val="00C20018"/>
    <w:rsid w:val="00C36473"/>
    <w:rsid w:val="00C607EF"/>
    <w:rsid w:val="00C632A6"/>
    <w:rsid w:val="00C943C1"/>
    <w:rsid w:val="00CC0765"/>
    <w:rsid w:val="00CD1230"/>
    <w:rsid w:val="00D02EC3"/>
    <w:rsid w:val="00D11D00"/>
    <w:rsid w:val="00D20E8D"/>
    <w:rsid w:val="00D4372E"/>
    <w:rsid w:val="00DA5006"/>
    <w:rsid w:val="00DC7F96"/>
    <w:rsid w:val="00E53426"/>
    <w:rsid w:val="00ED156C"/>
    <w:rsid w:val="00ED7C3D"/>
    <w:rsid w:val="00F429BA"/>
    <w:rsid w:val="00F54F9A"/>
    <w:rsid w:val="00F81270"/>
    <w:rsid w:val="00F81D4D"/>
    <w:rsid w:val="00F9466B"/>
    <w:rsid w:val="00F9602A"/>
    <w:rsid w:val="00FA2DA8"/>
    <w:rsid w:val="00FB2127"/>
    <w:rsid w:val="00FB40C4"/>
    <w:rsid w:val="00FD3432"/>
    <w:rsid w:val="00FF7A79"/>
    <w:rsid w:val="011814AA"/>
    <w:rsid w:val="01C23D23"/>
    <w:rsid w:val="02ED592F"/>
    <w:rsid w:val="03904789"/>
    <w:rsid w:val="04365012"/>
    <w:rsid w:val="04B045C6"/>
    <w:rsid w:val="04B1778E"/>
    <w:rsid w:val="077C087A"/>
    <w:rsid w:val="08950B15"/>
    <w:rsid w:val="091B6265"/>
    <w:rsid w:val="09291EA3"/>
    <w:rsid w:val="0B4533DE"/>
    <w:rsid w:val="0C563A9A"/>
    <w:rsid w:val="0C9C3EFE"/>
    <w:rsid w:val="0CB04A1A"/>
    <w:rsid w:val="0D8B5561"/>
    <w:rsid w:val="0FCB579C"/>
    <w:rsid w:val="10DB17E6"/>
    <w:rsid w:val="12F56114"/>
    <w:rsid w:val="130013FA"/>
    <w:rsid w:val="14637B55"/>
    <w:rsid w:val="169450DE"/>
    <w:rsid w:val="175F45B7"/>
    <w:rsid w:val="181E3DA1"/>
    <w:rsid w:val="18954CE4"/>
    <w:rsid w:val="19942E89"/>
    <w:rsid w:val="1ADD6CD2"/>
    <w:rsid w:val="1C1A75C0"/>
    <w:rsid w:val="1CAA1916"/>
    <w:rsid w:val="1CF8290D"/>
    <w:rsid w:val="1E5C37CA"/>
    <w:rsid w:val="1ECC4796"/>
    <w:rsid w:val="1F314840"/>
    <w:rsid w:val="20935426"/>
    <w:rsid w:val="21776679"/>
    <w:rsid w:val="21815E8F"/>
    <w:rsid w:val="21CB7AB3"/>
    <w:rsid w:val="2222403B"/>
    <w:rsid w:val="225A4BD6"/>
    <w:rsid w:val="23FB2AFA"/>
    <w:rsid w:val="2474158A"/>
    <w:rsid w:val="24986533"/>
    <w:rsid w:val="25EE3155"/>
    <w:rsid w:val="26256193"/>
    <w:rsid w:val="26866586"/>
    <w:rsid w:val="269C1DB1"/>
    <w:rsid w:val="269C4517"/>
    <w:rsid w:val="26D32F16"/>
    <w:rsid w:val="26F868F6"/>
    <w:rsid w:val="2B925055"/>
    <w:rsid w:val="2C0B7ABB"/>
    <w:rsid w:val="2C200BF3"/>
    <w:rsid w:val="2C5245F9"/>
    <w:rsid w:val="2C604CFD"/>
    <w:rsid w:val="2CE65D4A"/>
    <w:rsid w:val="2E38185D"/>
    <w:rsid w:val="2EEA3285"/>
    <w:rsid w:val="2F0B68F2"/>
    <w:rsid w:val="2F550AFC"/>
    <w:rsid w:val="307B5EAB"/>
    <w:rsid w:val="309045F9"/>
    <w:rsid w:val="31275DB1"/>
    <w:rsid w:val="31B4788B"/>
    <w:rsid w:val="3258664C"/>
    <w:rsid w:val="32B87442"/>
    <w:rsid w:val="36361292"/>
    <w:rsid w:val="37890E43"/>
    <w:rsid w:val="386055AE"/>
    <w:rsid w:val="3A320E69"/>
    <w:rsid w:val="3BC05242"/>
    <w:rsid w:val="3BCB3388"/>
    <w:rsid w:val="3C6A03CF"/>
    <w:rsid w:val="3CAD12A4"/>
    <w:rsid w:val="3DF064DB"/>
    <w:rsid w:val="3E52708B"/>
    <w:rsid w:val="3FF872DE"/>
    <w:rsid w:val="41425B1E"/>
    <w:rsid w:val="419661DE"/>
    <w:rsid w:val="41B00AE5"/>
    <w:rsid w:val="431A1DE4"/>
    <w:rsid w:val="43632430"/>
    <w:rsid w:val="461C6014"/>
    <w:rsid w:val="46317436"/>
    <w:rsid w:val="46354FFB"/>
    <w:rsid w:val="468F4626"/>
    <w:rsid w:val="47140486"/>
    <w:rsid w:val="471C5A5C"/>
    <w:rsid w:val="493D4634"/>
    <w:rsid w:val="49493445"/>
    <w:rsid w:val="499B1831"/>
    <w:rsid w:val="49C57F08"/>
    <w:rsid w:val="4A967308"/>
    <w:rsid w:val="4B2D6211"/>
    <w:rsid w:val="4B8C01DC"/>
    <w:rsid w:val="4D146CD1"/>
    <w:rsid w:val="4D1B3FA7"/>
    <w:rsid w:val="4D5A0C9E"/>
    <w:rsid w:val="4DB25C0B"/>
    <w:rsid w:val="4E5D130A"/>
    <w:rsid w:val="4F1A043E"/>
    <w:rsid w:val="4F3A492D"/>
    <w:rsid w:val="4FF4424F"/>
    <w:rsid w:val="508771BD"/>
    <w:rsid w:val="525844E9"/>
    <w:rsid w:val="52916310"/>
    <w:rsid w:val="541944C0"/>
    <w:rsid w:val="54602532"/>
    <w:rsid w:val="54BC5C59"/>
    <w:rsid w:val="557053D2"/>
    <w:rsid w:val="557A7C75"/>
    <w:rsid w:val="559F3B48"/>
    <w:rsid w:val="5607779B"/>
    <w:rsid w:val="566F6BDB"/>
    <w:rsid w:val="567E795B"/>
    <w:rsid w:val="568250B2"/>
    <w:rsid w:val="56CD7180"/>
    <w:rsid w:val="589C235F"/>
    <w:rsid w:val="58BE2BE5"/>
    <w:rsid w:val="5C3D4A45"/>
    <w:rsid w:val="5D7921FA"/>
    <w:rsid w:val="5E19039A"/>
    <w:rsid w:val="5E4837CD"/>
    <w:rsid w:val="5E6B47A2"/>
    <w:rsid w:val="5EBE4239"/>
    <w:rsid w:val="61A80DA1"/>
    <w:rsid w:val="63702285"/>
    <w:rsid w:val="637133EE"/>
    <w:rsid w:val="64521FA7"/>
    <w:rsid w:val="64712F05"/>
    <w:rsid w:val="66515502"/>
    <w:rsid w:val="67763E91"/>
    <w:rsid w:val="6783330B"/>
    <w:rsid w:val="69393D31"/>
    <w:rsid w:val="6A6871B9"/>
    <w:rsid w:val="6B1F02A2"/>
    <w:rsid w:val="6B865AF4"/>
    <w:rsid w:val="6BBE5589"/>
    <w:rsid w:val="6CB00EF6"/>
    <w:rsid w:val="6DDC64F4"/>
    <w:rsid w:val="6EB44160"/>
    <w:rsid w:val="6F753458"/>
    <w:rsid w:val="6FE83AE8"/>
    <w:rsid w:val="70992649"/>
    <w:rsid w:val="71D03ED8"/>
    <w:rsid w:val="729A4905"/>
    <w:rsid w:val="72E26BB4"/>
    <w:rsid w:val="72EE345D"/>
    <w:rsid w:val="749567E5"/>
    <w:rsid w:val="757F37E4"/>
    <w:rsid w:val="75C00731"/>
    <w:rsid w:val="7650203B"/>
    <w:rsid w:val="77FA32F8"/>
    <w:rsid w:val="7AFD26CA"/>
    <w:rsid w:val="7CD04EB4"/>
    <w:rsid w:val="7E7C1A93"/>
    <w:rsid w:val="7E990276"/>
    <w:rsid w:val="7EED10C2"/>
    <w:rsid w:val="7EFD6AC4"/>
    <w:rsid w:val="7F2B4AB2"/>
    <w:rsid w:val="7F392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1">
    <w:name w:val="Hyperlink"/>
    <w:basedOn w:val="10"/>
    <w:semiHidden/>
    <w:unhideWhenUsed/>
    <w:qFormat/>
    <w:uiPriority w:val="99"/>
    <w:rPr>
      <w:color w:val="337AB7"/>
      <w:u w:val="none"/>
      <w:shd w:val="clear" w:color="auto" w:fill="auto"/>
    </w:rPr>
  </w:style>
  <w:style w:type="paragraph" w:customStyle="1" w:styleId="12">
    <w:name w:val="related-article-recommend-content-title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13">
    <w:name w:val="p0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character" w:customStyle="1" w:styleId="14">
    <w:name w:val="item-label3"/>
    <w:basedOn w:val="10"/>
    <w:qFormat/>
    <w:uiPriority w:val="0"/>
    <w:rPr>
      <w:color w:val="555E6A"/>
    </w:rPr>
  </w:style>
  <w:style w:type="paragraph" w:customStyle="1" w:styleId="15">
    <w:name w:val="z-窗体顶端1"/>
    <w:basedOn w:val="1"/>
    <w:next w:val="1"/>
    <w:link w:val="16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6">
    <w:name w:val="z-窗体顶端 Char"/>
    <w:basedOn w:val="10"/>
    <w:link w:val="15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7">
    <w:name w:val="z-窗体底端1"/>
    <w:basedOn w:val="1"/>
    <w:next w:val="1"/>
    <w:link w:val="18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8">
    <w:name w:val="z-窗体底端 Char"/>
    <w:basedOn w:val="10"/>
    <w:link w:val="17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9">
    <w:name w:val="批注框文本 字符"/>
    <w:basedOn w:val="10"/>
    <w:link w:val="4"/>
    <w:semiHidden/>
    <w:qFormat/>
    <w:uiPriority w:val="99"/>
    <w:rPr>
      <w:sz w:val="18"/>
      <w:szCs w:val="18"/>
    </w:rPr>
  </w:style>
  <w:style w:type="character" w:customStyle="1" w:styleId="20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21">
    <w:name w:val="页脚 字符"/>
    <w:basedOn w:val="10"/>
    <w:link w:val="5"/>
    <w:qFormat/>
    <w:uiPriority w:val="99"/>
    <w:rPr>
      <w:sz w:val="18"/>
      <w:szCs w:val="18"/>
    </w:rPr>
  </w:style>
  <w:style w:type="character" w:customStyle="1" w:styleId="22">
    <w:name w:val="文档结构图 字符"/>
    <w:basedOn w:val="10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907</Words>
  <Characters>1571</Characters>
  <Lines>224</Lines>
  <Paragraphs>275</Paragraphs>
  <TotalTime>0</TotalTime>
  <ScaleCrop>false</ScaleCrop>
  <LinksUpToDate>false</LinksUpToDate>
  <CharactersWithSpaces>2203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2020-08-17T08:54:00Z</dcterms:created>
  <dc:creator>Lenovo</dc:creator>
  <cp:lastModifiedBy>李思远</cp:lastModifiedBy>
  <cp:lastPrinted>2021-10-25T06:40:00Z</cp:lastPrinted>
  <dcterms:modified xsi:type="dcterms:W3CDTF">2026-04-14T10:20:39Z</dcterms:modified>
  <dc:title> 信通理财-圳元金年年盈理财产品37 2023年年度报告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F7E7797FC5B147379485ED762C1C7DEE</vt:lpwstr>
  </property>
</Properties>
</file>