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auto"/>
        <w:jc w:val="center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 信通理财-圳元金年年盈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33 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202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6年第一季度报告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一、理财产品基本信息</w:t>
      </w:r>
    </w:p>
    <w:tbl>
      <w:tblPr>
        <w:tblStyle w:val="8"/>
        <w:tblW w:w="8782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86"/>
        <w:gridCol w:w="649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产品名称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信通理财-圳元金年年盈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理财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  <w:t>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ZYJ800833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登记编码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C11096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21000076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，客户可依据本登记编码在中国理财网（www.chinawealth.com.cn）上查询产品信息。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产品类型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非保本浮动收益类净值型理财产品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本金及收益币种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人民币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报告期末产品总份额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59,139,700.00 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报告期末产品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存续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规模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60,965,467.64  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投资期限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以十二个月为一个投资周期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收益支付日及支付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每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十二个月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分配、按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周期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支付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托管人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兴业银行股份有限公司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二、收益表现</w:t>
      </w:r>
    </w:p>
    <w:p>
      <w:pPr>
        <w:widowControl/>
        <w:spacing w:line="480" w:lineRule="auto"/>
        <w:ind w:firstLine="42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圳元金年年盈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33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报告期内净值信息如下：</w:t>
      </w:r>
    </w:p>
    <w:tbl>
      <w:tblPr>
        <w:tblStyle w:val="8"/>
        <w:tblW w:w="8647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4"/>
        <w:gridCol w:w="1276"/>
        <w:gridCol w:w="1842"/>
        <w:gridCol w:w="1728"/>
        <w:gridCol w:w="22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4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净值日期</w:t>
            </w:r>
          </w:p>
        </w:tc>
        <w:tc>
          <w:tcPr>
            <w:tcW w:w="1276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1842" w:type="dxa"/>
            <w:tcBorders>
              <w:top w:val="single" w:color="000000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业绩比较基准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份额净值</w:t>
            </w:r>
          </w:p>
        </w:tc>
        <w:tc>
          <w:tcPr>
            <w:tcW w:w="2267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产品累计净值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20260130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33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2.20%-3.00%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  <w:t xml:space="preserve">1.0507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  <w:t xml:space="preserve">1.1669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20260227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33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2.20%-3.00%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  <w:t xml:space="preserve">1.0276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  <w:t xml:space="preserve">1.1438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20260331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33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2.20%-3.00%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  <w:t xml:space="preserve">1.0308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  <w:t xml:space="preserve">1.1470 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三、投资资产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1.报告期末资产种类及比例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7"/>
        <w:gridCol w:w="1658"/>
        <w:gridCol w:w="1682"/>
        <w:gridCol w:w="1307"/>
        <w:gridCol w:w="1467"/>
        <w:gridCol w:w="1365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8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6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9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直接投资</w:t>
            </w:r>
          </w:p>
        </w:tc>
        <w:tc>
          <w:tcPr>
            <w:tcW w:w="28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间接投资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固定收益类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1,007.51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67,428,983.79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权益类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商品及金融衍生品类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1,007.51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67,428,983.79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</w:tbl>
    <w:p>
      <w:pPr>
        <w:widowControl/>
        <w:spacing w:line="24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 xml:space="preserve">注: 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占比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=资产余额/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穿透后的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产品总资产，占比结果保留两位小数（因第二位小数四舍五入，可能存在尾差）。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2.报告期末杆杠融资情况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9"/>
        <w:gridCol w:w="2896"/>
        <w:gridCol w:w="245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报告期末债券回购融资余额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6,415,001.09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10.52%</w:t>
            </w:r>
          </w:p>
        </w:tc>
      </w:tr>
    </w:tbl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末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本产品债券回购融资余额未超过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资产净值的40%，本产品总资产未超过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资产净值的140%。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3.报告期末投资组合平均剩余期限分布比例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1"/>
        <w:gridCol w:w="2522"/>
        <w:gridCol w:w="2445"/>
        <w:gridCol w:w="206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平均剩余期限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各期限资产占资产净值的比例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各期限负债占资产净值的比例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30天（含）以内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16.81%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10.52%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31-90天（含）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91天-180天（含）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10.52%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181天-365天（含）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8.11%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1年-3年（含）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33.69%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3年以上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38.33%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110.60%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10.52%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4.报告期末资产持仓前十基本信息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5"/>
        <w:gridCol w:w="1358"/>
        <w:gridCol w:w="2557"/>
        <w:gridCol w:w="1763"/>
        <w:gridCol w:w="1633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资产类型</w:t>
            </w:r>
          </w:p>
        </w:tc>
        <w:tc>
          <w:tcPr>
            <w:tcW w:w="2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23广晟EB</w:t>
            </w: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3,899,238.92 </w:t>
            </w:r>
          </w:p>
        </w:tc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21人居债</w:t>
            </w: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3,824,286.96 </w:t>
            </w:r>
          </w:p>
        </w:tc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6.27%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25中行二级资本债03A(BC)</w:t>
            </w: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3,769,457.00 </w:t>
            </w:r>
          </w:p>
        </w:tc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6.18%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26东证C2</w:t>
            </w: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3,754,562.55 </w:t>
            </w:r>
          </w:p>
        </w:tc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6.16%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21平证Y1</w:t>
            </w: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3,053,596.63 </w:t>
            </w:r>
          </w:p>
        </w:tc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5.01%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25国开11</w:t>
            </w: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3,000,278.38 </w:t>
            </w:r>
          </w:p>
        </w:tc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4.92%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23中金F2</w:t>
            </w: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1,945,830.73 </w:t>
            </w:r>
          </w:p>
        </w:tc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3.19%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23电建01</w:t>
            </w: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1,922,126.81 </w:t>
            </w:r>
          </w:p>
        </w:tc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24豫通Y2</w:t>
            </w: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1,921,528.78 </w:t>
            </w:r>
          </w:p>
        </w:tc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23鞍钢Y2</w:t>
            </w: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1,919,416.43 </w:t>
            </w:r>
          </w:p>
        </w:tc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3.15%</w:t>
            </w:r>
          </w:p>
        </w:tc>
      </w:tr>
    </w:tbl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5.报告期末投资于理财产品关联方发行、承销的证券</w:t>
      </w:r>
    </w:p>
    <w:tbl>
      <w:tblPr>
        <w:tblStyle w:val="8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"/>
        <w:gridCol w:w="1347"/>
        <w:gridCol w:w="1202"/>
        <w:gridCol w:w="2467"/>
        <w:gridCol w:w="1440"/>
        <w:gridCol w:w="1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投资金额（万元）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关联方名称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关联方角色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bookmarkStart w:id="0" w:name="_GoBack" w:colFirst="1" w:colLast="5"/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1 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24港务Y1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75.10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厦门港务控股集团有限公司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托管机构的主要股东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25北京银行永续债01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113.53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25南京银行二级资本债01BC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75.85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25平安银行永续债01BC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187.00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25兴业银行永续债01BC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75.78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25中粮MTN007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188.32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26港务Y1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185.82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厦门港务控股集团有限公司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托管机构的主要股东</w:t>
            </w:r>
          </w:p>
        </w:tc>
      </w:tr>
      <w:bookmarkEnd w:id="0"/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注：上述披露信息为该产品本报告期末日终的投资情况；以上投资于管理人、托管人及其主要股东、控股公司等关联方发行或承销的证券符合理财产品的投资目标、投资策略和投资者利益优先原则，按照商业原则，以不优于对非关联方同类交易的条件进行。</w:t>
      </w:r>
    </w:p>
    <w:p>
      <w:pPr>
        <w:widowControl/>
        <w:spacing w:line="480" w:lineRule="auto"/>
        <w:jc w:val="both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四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投资组合的流动性风险分析</w:t>
      </w:r>
    </w:p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本产品以固定收益类资产为主要投资标的，报告期内，本理财产品严格遵守相关法律法规以及产品销售协议，所投资产组合的流动性与投资者赎回需求相匹配，报告期内未发生流动性风险。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numPr>
          <w:ilvl w:val="0"/>
          <w:numId w:val="1"/>
        </w:numPr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投资账户信息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7"/>
        <w:gridCol w:w="2647"/>
        <w:gridCol w:w="3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账户类型</w:t>
            </w:r>
          </w:p>
        </w:tc>
        <w:tc>
          <w:tcPr>
            <w:tcW w:w="2647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户名</w:t>
            </w:r>
          </w:p>
        </w:tc>
        <w:tc>
          <w:tcPr>
            <w:tcW w:w="3228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产品托管户</w:t>
            </w:r>
          </w:p>
        </w:tc>
        <w:tc>
          <w:tcPr>
            <w:tcW w:w="2647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深圳农村商业银行股份有限公司-信通理财-圳元金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年年</w:t>
            </w:r>
            <w:r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盈理财产品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33</w:t>
            </w:r>
          </w:p>
        </w:tc>
        <w:tc>
          <w:tcPr>
            <w:tcW w:w="3228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337010100102410273</w:t>
            </w:r>
          </w:p>
        </w:tc>
      </w:tr>
    </w:tbl>
    <w:p>
      <w:pPr>
        <w:widowControl/>
        <w:numPr>
          <w:ilvl w:val="0"/>
          <w:numId w:val="0"/>
        </w:numPr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深圳农村商业银行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股份有限公司</w:t>
      </w: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202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6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年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4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21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日</w:t>
      </w: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5D8D86"/>
    <w:multiLevelType w:val="singleLevel"/>
    <w:tmpl w:val="2B5D8D86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1MDg0MWJiMzY5OTc3YmY2NDJkYzA3ZDQwYTU0ZjcifQ=="/>
  </w:docVars>
  <w:rsids>
    <w:rsidRoot w:val="00487C9E"/>
    <w:rsid w:val="0000104C"/>
    <w:rsid w:val="00040399"/>
    <w:rsid w:val="0005281C"/>
    <w:rsid w:val="00062668"/>
    <w:rsid w:val="00070139"/>
    <w:rsid w:val="00084E2A"/>
    <w:rsid w:val="00097918"/>
    <w:rsid w:val="000C3CC3"/>
    <w:rsid w:val="000C5782"/>
    <w:rsid w:val="000D0B6C"/>
    <w:rsid w:val="00110D1D"/>
    <w:rsid w:val="00113705"/>
    <w:rsid w:val="00113D12"/>
    <w:rsid w:val="00130E35"/>
    <w:rsid w:val="00141F61"/>
    <w:rsid w:val="00144F82"/>
    <w:rsid w:val="00160D33"/>
    <w:rsid w:val="001A0954"/>
    <w:rsid w:val="001A25D7"/>
    <w:rsid w:val="001B38C6"/>
    <w:rsid w:val="001C076B"/>
    <w:rsid w:val="001C14C2"/>
    <w:rsid w:val="00250A7E"/>
    <w:rsid w:val="00263100"/>
    <w:rsid w:val="0028673D"/>
    <w:rsid w:val="002D7D6D"/>
    <w:rsid w:val="002E4FBD"/>
    <w:rsid w:val="002F5441"/>
    <w:rsid w:val="00304BF9"/>
    <w:rsid w:val="00335702"/>
    <w:rsid w:val="00355F2D"/>
    <w:rsid w:val="003B26F0"/>
    <w:rsid w:val="003C2BAE"/>
    <w:rsid w:val="003C50A1"/>
    <w:rsid w:val="003C7E40"/>
    <w:rsid w:val="003F1320"/>
    <w:rsid w:val="00487C9E"/>
    <w:rsid w:val="004E7534"/>
    <w:rsid w:val="00515564"/>
    <w:rsid w:val="00525034"/>
    <w:rsid w:val="00573D79"/>
    <w:rsid w:val="005859D4"/>
    <w:rsid w:val="005B3B6E"/>
    <w:rsid w:val="005C7423"/>
    <w:rsid w:val="005D4AD1"/>
    <w:rsid w:val="00682281"/>
    <w:rsid w:val="00696584"/>
    <w:rsid w:val="006A2F15"/>
    <w:rsid w:val="006D520C"/>
    <w:rsid w:val="007224C7"/>
    <w:rsid w:val="00733747"/>
    <w:rsid w:val="00734E4B"/>
    <w:rsid w:val="00740298"/>
    <w:rsid w:val="00764E59"/>
    <w:rsid w:val="00766410"/>
    <w:rsid w:val="007731FC"/>
    <w:rsid w:val="00780B1A"/>
    <w:rsid w:val="007B616D"/>
    <w:rsid w:val="007C2368"/>
    <w:rsid w:val="007F2511"/>
    <w:rsid w:val="007F5D10"/>
    <w:rsid w:val="00840A8A"/>
    <w:rsid w:val="00851107"/>
    <w:rsid w:val="008612C2"/>
    <w:rsid w:val="00867136"/>
    <w:rsid w:val="00887FF6"/>
    <w:rsid w:val="008C3D56"/>
    <w:rsid w:val="009132C8"/>
    <w:rsid w:val="00947B5B"/>
    <w:rsid w:val="00950E93"/>
    <w:rsid w:val="00951184"/>
    <w:rsid w:val="00957929"/>
    <w:rsid w:val="009B2AA6"/>
    <w:rsid w:val="00A0333C"/>
    <w:rsid w:val="00A05174"/>
    <w:rsid w:val="00A152EC"/>
    <w:rsid w:val="00A55592"/>
    <w:rsid w:val="00AD30A1"/>
    <w:rsid w:val="00AD407E"/>
    <w:rsid w:val="00B03202"/>
    <w:rsid w:val="00B059D6"/>
    <w:rsid w:val="00B165B1"/>
    <w:rsid w:val="00B631BB"/>
    <w:rsid w:val="00B70C46"/>
    <w:rsid w:val="00BC5826"/>
    <w:rsid w:val="00BF6B04"/>
    <w:rsid w:val="00C20018"/>
    <w:rsid w:val="00C36473"/>
    <w:rsid w:val="00C607EF"/>
    <w:rsid w:val="00C632A6"/>
    <w:rsid w:val="00C943C1"/>
    <w:rsid w:val="00CC0765"/>
    <w:rsid w:val="00CD1230"/>
    <w:rsid w:val="00D11D00"/>
    <w:rsid w:val="00D20E8D"/>
    <w:rsid w:val="00D4372E"/>
    <w:rsid w:val="00DA5006"/>
    <w:rsid w:val="00DC7F96"/>
    <w:rsid w:val="00E53426"/>
    <w:rsid w:val="00ED156C"/>
    <w:rsid w:val="00ED7C3D"/>
    <w:rsid w:val="00F429BA"/>
    <w:rsid w:val="00F54F9A"/>
    <w:rsid w:val="00F81270"/>
    <w:rsid w:val="00F81D4D"/>
    <w:rsid w:val="00F9466B"/>
    <w:rsid w:val="00F9602A"/>
    <w:rsid w:val="00FA2DA8"/>
    <w:rsid w:val="00FB2127"/>
    <w:rsid w:val="00FB40C4"/>
    <w:rsid w:val="00FD3432"/>
    <w:rsid w:val="00FF7A79"/>
    <w:rsid w:val="011814AA"/>
    <w:rsid w:val="011F158D"/>
    <w:rsid w:val="021C3D28"/>
    <w:rsid w:val="02ED592F"/>
    <w:rsid w:val="04365012"/>
    <w:rsid w:val="04B045C6"/>
    <w:rsid w:val="04B1778E"/>
    <w:rsid w:val="077C087A"/>
    <w:rsid w:val="08950B15"/>
    <w:rsid w:val="091B6265"/>
    <w:rsid w:val="09291EA3"/>
    <w:rsid w:val="0B4533DE"/>
    <w:rsid w:val="0CB04A1A"/>
    <w:rsid w:val="0D2F2711"/>
    <w:rsid w:val="0FCB579C"/>
    <w:rsid w:val="10DB17E6"/>
    <w:rsid w:val="12575810"/>
    <w:rsid w:val="130013FA"/>
    <w:rsid w:val="175F45B7"/>
    <w:rsid w:val="19942E89"/>
    <w:rsid w:val="1ADD6CD2"/>
    <w:rsid w:val="1C1A75C0"/>
    <w:rsid w:val="1C892787"/>
    <w:rsid w:val="1CF8290D"/>
    <w:rsid w:val="1E4D7AF2"/>
    <w:rsid w:val="1E5C37CA"/>
    <w:rsid w:val="1F314840"/>
    <w:rsid w:val="20935426"/>
    <w:rsid w:val="2222403B"/>
    <w:rsid w:val="225A4BD6"/>
    <w:rsid w:val="23FB2AFA"/>
    <w:rsid w:val="2474158A"/>
    <w:rsid w:val="24986533"/>
    <w:rsid w:val="25EE3155"/>
    <w:rsid w:val="269C1DB1"/>
    <w:rsid w:val="269C4517"/>
    <w:rsid w:val="26F868F6"/>
    <w:rsid w:val="29AE76F2"/>
    <w:rsid w:val="2C0B7ABB"/>
    <w:rsid w:val="2C5245F9"/>
    <w:rsid w:val="2C604CFD"/>
    <w:rsid w:val="2CE65D4A"/>
    <w:rsid w:val="2E38185D"/>
    <w:rsid w:val="307B5EAB"/>
    <w:rsid w:val="309045F9"/>
    <w:rsid w:val="31275DB1"/>
    <w:rsid w:val="3258664C"/>
    <w:rsid w:val="34A36B67"/>
    <w:rsid w:val="36361292"/>
    <w:rsid w:val="36BC23C2"/>
    <w:rsid w:val="386055AE"/>
    <w:rsid w:val="3A320E69"/>
    <w:rsid w:val="3ACD0C31"/>
    <w:rsid w:val="3BC05242"/>
    <w:rsid w:val="3BCB3388"/>
    <w:rsid w:val="3E183B8E"/>
    <w:rsid w:val="3E52708B"/>
    <w:rsid w:val="3FF872DE"/>
    <w:rsid w:val="413F5E21"/>
    <w:rsid w:val="419661DE"/>
    <w:rsid w:val="41B00AE5"/>
    <w:rsid w:val="43632430"/>
    <w:rsid w:val="46317436"/>
    <w:rsid w:val="468F4626"/>
    <w:rsid w:val="47140486"/>
    <w:rsid w:val="471C5A5C"/>
    <w:rsid w:val="482F01E7"/>
    <w:rsid w:val="48B21EB5"/>
    <w:rsid w:val="49C57F08"/>
    <w:rsid w:val="4A967308"/>
    <w:rsid w:val="4B0E44FC"/>
    <w:rsid w:val="4B2D6211"/>
    <w:rsid w:val="4B8C01DC"/>
    <w:rsid w:val="4D146CD1"/>
    <w:rsid w:val="4D1B3FA7"/>
    <w:rsid w:val="4DB25C0B"/>
    <w:rsid w:val="4E5D130A"/>
    <w:rsid w:val="4F1A043E"/>
    <w:rsid w:val="4F3A492D"/>
    <w:rsid w:val="4FF4424F"/>
    <w:rsid w:val="503E19BE"/>
    <w:rsid w:val="508771BD"/>
    <w:rsid w:val="525844E9"/>
    <w:rsid w:val="52916310"/>
    <w:rsid w:val="529F5D44"/>
    <w:rsid w:val="536E1B9C"/>
    <w:rsid w:val="541944C0"/>
    <w:rsid w:val="54602532"/>
    <w:rsid w:val="54BC5C59"/>
    <w:rsid w:val="55796E2D"/>
    <w:rsid w:val="559F3B48"/>
    <w:rsid w:val="5604137D"/>
    <w:rsid w:val="560676CC"/>
    <w:rsid w:val="5607779B"/>
    <w:rsid w:val="567E795B"/>
    <w:rsid w:val="56CD7180"/>
    <w:rsid w:val="5A0C70F8"/>
    <w:rsid w:val="5C3D4A45"/>
    <w:rsid w:val="5D7921FA"/>
    <w:rsid w:val="5E1575AA"/>
    <w:rsid w:val="5E19039A"/>
    <w:rsid w:val="5E6B47A2"/>
    <w:rsid w:val="5EBE4239"/>
    <w:rsid w:val="61A80DA1"/>
    <w:rsid w:val="61C62A13"/>
    <w:rsid w:val="63702285"/>
    <w:rsid w:val="64521FA7"/>
    <w:rsid w:val="64712F05"/>
    <w:rsid w:val="648355F0"/>
    <w:rsid w:val="66515502"/>
    <w:rsid w:val="668D2368"/>
    <w:rsid w:val="6783330B"/>
    <w:rsid w:val="679F7D6C"/>
    <w:rsid w:val="67C93814"/>
    <w:rsid w:val="6A6871B9"/>
    <w:rsid w:val="6B1F02A2"/>
    <w:rsid w:val="6BBE5589"/>
    <w:rsid w:val="6CB00EF6"/>
    <w:rsid w:val="6CD96C6D"/>
    <w:rsid w:val="6F193714"/>
    <w:rsid w:val="6F753458"/>
    <w:rsid w:val="71D03ED8"/>
    <w:rsid w:val="727C632D"/>
    <w:rsid w:val="72E26BB4"/>
    <w:rsid w:val="72EE345D"/>
    <w:rsid w:val="73745044"/>
    <w:rsid w:val="75C00731"/>
    <w:rsid w:val="7650203B"/>
    <w:rsid w:val="76CE28B3"/>
    <w:rsid w:val="77120696"/>
    <w:rsid w:val="79F046A4"/>
    <w:rsid w:val="7CD04EB4"/>
    <w:rsid w:val="7E7C1A93"/>
    <w:rsid w:val="7E990276"/>
    <w:rsid w:val="7EED10C2"/>
    <w:rsid w:val="7EFD6AC4"/>
    <w:rsid w:val="7F2B4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22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table" w:styleId="9">
    <w:name w:val="Table Grid"/>
    <w:basedOn w:val="8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semiHidden/>
    <w:unhideWhenUsed/>
    <w:qFormat/>
    <w:uiPriority w:val="99"/>
    <w:rPr>
      <w:color w:val="337AB7"/>
      <w:u w:val="none"/>
      <w:shd w:val="clear" w:color="auto" w:fill="auto"/>
    </w:rPr>
  </w:style>
  <w:style w:type="paragraph" w:customStyle="1" w:styleId="12">
    <w:name w:val="related-article-recommend-content-title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paragraph" w:customStyle="1" w:styleId="13">
    <w:name w:val="p0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character" w:customStyle="1" w:styleId="14">
    <w:name w:val="item-label3"/>
    <w:basedOn w:val="10"/>
    <w:qFormat/>
    <w:uiPriority w:val="0"/>
    <w:rPr>
      <w:color w:val="555E6A"/>
    </w:rPr>
  </w:style>
  <w:style w:type="paragraph" w:customStyle="1" w:styleId="15">
    <w:name w:val="HTML Top of Form"/>
    <w:basedOn w:val="1"/>
    <w:next w:val="1"/>
    <w:link w:val="16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6">
    <w:name w:val="z-窗体顶端 Char"/>
    <w:basedOn w:val="10"/>
    <w:link w:val="15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paragraph" w:customStyle="1" w:styleId="17">
    <w:name w:val="HTML Bottom of Form"/>
    <w:basedOn w:val="1"/>
    <w:next w:val="1"/>
    <w:link w:val="18"/>
    <w:semiHidden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8">
    <w:name w:val="z-窗体底端 Char"/>
    <w:basedOn w:val="10"/>
    <w:link w:val="17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character" w:customStyle="1" w:styleId="19">
    <w:name w:val="批注框文本 Char"/>
    <w:basedOn w:val="10"/>
    <w:link w:val="4"/>
    <w:semiHidden/>
    <w:qFormat/>
    <w:uiPriority w:val="99"/>
    <w:rPr>
      <w:sz w:val="18"/>
      <w:szCs w:val="18"/>
    </w:rPr>
  </w:style>
  <w:style w:type="character" w:customStyle="1" w:styleId="20">
    <w:name w:val="页眉 Char"/>
    <w:basedOn w:val="10"/>
    <w:link w:val="6"/>
    <w:semiHidden/>
    <w:qFormat/>
    <w:uiPriority w:val="99"/>
    <w:rPr>
      <w:sz w:val="18"/>
      <w:szCs w:val="18"/>
    </w:rPr>
  </w:style>
  <w:style w:type="character" w:customStyle="1" w:styleId="21">
    <w:name w:val="页脚 Char"/>
    <w:basedOn w:val="10"/>
    <w:link w:val="5"/>
    <w:semiHidden/>
    <w:qFormat/>
    <w:uiPriority w:val="99"/>
    <w:rPr>
      <w:sz w:val="18"/>
      <w:szCs w:val="18"/>
    </w:rPr>
  </w:style>
  <w:style w:type="character" w:customStyle="1" w:styleId="22">
    <w:name w:val="文档结构图 Char"/>
    <w:basedOn w:val="10"/>
    <w:link w:val="2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860</Words>
  <Characters>1370</Characters>
  <Lines>29</Lines>
  <Paragraphs>8</Paragraphs>
  <TotalTime>0</TotalTime>
  <ScaleCrop>false</ScaleCrop>
  <LinksUpToDate>false</LinksUpToDate>
  <CharactersWithSpaces>1380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2020-08-17T08:54:00Z</dcterms:created>
  <dc:creator>Lenovo</dc:creator>
  <cp:lastModifiedBy>子芸</cp:lastModifiedBy>
  <cp:lastPrinted>2021-10-25T06:40:00Z</cp:lastPrinted>
  <dcterms:modified xsi:type="dcterms:W3CDTF">2026-04-14T12:01:20Z</dcterms:modified>
  <dc:title> 信通理财-圳元金年年盈理财产品33 2023年年度报告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F7E7797FC5B147379485ED762C1C7DEE</vt:lpwstr>
  </property>
</Properties>
</file>