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80" w:lineRule="auto"/>
        <w:jc w:val="center"/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  <w:t xml:space="preserve"> 信通理财-圳元金年年盈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  <w:t>理财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eastAsia="zh-CN"/>
        </w:rPr>
        <w:t>产品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  <w:t xml:space="preserve">25 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  <w:t>202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  <w:t>6年第一季度报告</w:t>
      </w:r>
    </w:p>
    <w:p>
      <w:pPr>
        <w:widowControl/>
        <w:spacing w:line="480" w:lineRule="auto"/>
        <w:jc w:val="left"/>
        <w:outlineLvl w:val="0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  <w:t>一、理财产品基本信息</w:t>
      </w:r>
    </w:p>
    <w:tbl>
      <w:tblPr>
        <w:tblStyle w:val="8"/>
        <w:tblW w:w="8782" w:type="dxa"/>
        <w:tblInd w:w="1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86"/>
        <w:gridCol w:w="6496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产品名称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default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信通理财-圳元金年年盈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理财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eastAsia="zh-CN"/>
              </w:rPr>
              <w:t>产品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25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产品编号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default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ZYJ800825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ind w:firstLine="525" w:firstLineChars="250"/>
              <w:jc w:val="both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登记编码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C11096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21000039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，客户可依据本登记编码在中国理财网（www.chinawealth.com.cn）上查询产品信息。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产品类型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非保本浮动收益类净值型理财产品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本金及收益币种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人民币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default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报告期末产品总份额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default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 xml:space="preserve"> 105,628,200.00 份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报告期末产品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存续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规模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 xml:space="preserve"> 108,578,481.12  元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投资期限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以十二个月为一个投资周期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收益支付日及支付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每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十二个月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分配、按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周期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支付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托管人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兴业银行股份有限公司</w:t>
            </w:r>
          </w:p>
        </w:tc>
      </w:tr>
    </w:tbl>
    <w:p>
      <w:pPr>
        <w:widowControl/>
        <w:spacing w:line="480" w:lineRule="auto"/>
        <w:jc w:val="left"/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</w:pPr>
    </w:p>
    <w:p>
      <w:pPr>
        <w:widowControl/>
        <w:spacing w:line="480" w:lineRule="auto"/>
        <w:jc w:val="left"/>
        <w:outlineLvl w:val="0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  <w:t>二、收益表现</w:t>
      </w:r>
    </w:p>
    <w:p>
      <w:pPr>
        <w:widowControl/>
        <w:spacing w:line="480" w:lineRule="auto"/>
        <w:ind w:firstLine="420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圳元金年年盈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理财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eastAsia="zh-CN"/>
        </w:rPr>
        <w:t>产品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25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报告期内净值信息如下：</w:t>
      </w:r>
    </w:p>
    <w:tbl>
      <w:tblPr>
        <w:tblStyle w:val="8"/>
        <w:tblW w:w="8647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4"/>
        <w:gridCol w:w="1276"/>
        <w:gridCol w:w="1842"/>
        <w:gridCol w:w="1728"/>
        <w:gridCol w:w="226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34" w:type="dxa"/>
            <w:tcBorders>
              <w:top w:val="single" w:color="000000" w:sz="8" w:space="0"/>
              <w:left w:val="single" w:color="000000" w:sz="8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80" w:lineRule="auto"/>
              <w:jc w:val="both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净值日期</w:t>
            </w:r>
          </w:p>
        </w:tc>
        <w:tc>
          <w:tcPr>
            <w:tcW w:w="1276" w:type="dxa"/>
            <w:tcBorders>
              <w:top w:val="single" w:color="000000" w:sz="8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80" w:lineRule="auto"/>
              <w:jc w:val="both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产品编号</w:t>
            </w:r>
          </w:p>
        </w:tc>
        <w:tc>
          <w:tcPr>
            <w:tcW w:w="1842" w:type="dxa"/>
            <w:tcBorders>
              <w:top w:val="single" w:color="000000" w:sz="8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jc w:val="both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业绩比较基准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480" w:lineRule="auto"/>
              <w:jc w:val="both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份额净值</w:t>
            </w:r>
          </w:p>
        </w:tc>
        <w:tc>
          <w:tcPr>
            <w:tcW w:w="2267" w:type="dxa"/>
            <w:tcBorders>
              <w:top w:val="single" w:color="000000" w:sz="8" w:space="0"/>
              <w:left w:val="nil"/>
              <w:bottom w:val="single" w:color="auto" w:sz="4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480" w:lineRule="auto"/>
              <w:jc w:val="both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产品累计净值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1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>20260130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</w:rPr>
              <w:t>ZYJ8008</w:t>
            </w: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  <w:lang w:val="en-US" w:eastAsia="zh-CN"/>
              </w:rPr>
              <w:t>25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ind w:firstLine="105" w:firstLineChars="0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  <w:lang w:val="en-US" w:eastAsia="zh-CN"/>
              </w:rPr>
              <w:t>2.30%-3.00%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 xml:space="preserve">1.0477 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 xml:space="preserve">1.1715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1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>20260227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</w:rPr>
              <w:t>ZYJ8008</w:t>
            </w: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  <w:lang w:val="en-US" w:eastAsia="zh-CN"/>
              </w:rPr>
              <w:t>25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ind w:firstLine="105" w:firstLineChars="0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  <w:lang w:val="en-US" w:eastAsia="zh-CN"/>
              </w:rPr>
              <w:t>2.30%-3.00%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 xml:space="preserve">1.0247 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 xml:space="preserve">1.1485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1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>20260331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color w:val="333333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</w:rPr>
              <w:t>ZYJ8008</w:t>
            </w: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  <w:lang w:val="en-US" w:eastAsia="zh-CN"/>
              </w:rPr>
              <w:t>25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ind w:firstLine="105" w:firstLineChars="0"/>
              <w:rPr>
                <w:rFonts w:hint="eastAsia" w:ascii="黑体" w:hAnsi="黑体" w:eastAsia="黑体" w:cs="宋体"/>
                <w:color w:val="333333"/>
                <w:kern w:val="0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  <w:lang w:val="en-US" w:eastAsia="zh-CN"/>
              </w:rPr>
              <w:t>2.30%-3.00%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 xml:space="preserve">1.0279 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 xml:space="preserve">1.1517 </w:t>
            </w:r>
          </w:p>
        </w:tc>
      </w:tr>
    </w:tbl>
    <w:p>
      <w:pPr>
        <w:widowControl/>
        <w:spacing w:line="480" w:lineRule="auto"/>
        <w:jc w:val="left"/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</w:pPr>
    </w:p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  <w:t>三、投资资产</w:t>
      </w:r>
    </w:p>
    <w:p>
      <w:pPr>
        <w:widowControl/>
        <w:spacing w:line="480" w:lineRule="auto"/>
        <w:jc w:val="left"/>
        <w:outlineLvl w:val="0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1.报告期末资产种类及比例</w:t>
      </w:r>
    </w:p>
    <w:tbl>
      <w:tblPr>
        <w:tblStyle w:val="8"/>
        <w:tblW w:w="8336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5"/>
        <w:gridCol w:w="1652"/>
        <w:gridCol w:w="1652"/>
        <w:gridCol w:w="1284"/>
        <w:gridCol w:w="1498"/>
        <w:gridCol w:w="1395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85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65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</w:t>
            </w:r>
          </w:p>
        </w:tc>
        <w:tc>
          <w:tcPr>
            <w:tcW w:w="29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直接投资</w:t>
            </w:r>
          </w:p>
        </w:tc>
        <w:tc>
          <w:tcPr>
            <w:tcW w:w="289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间接投资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资产余额（元）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占比</w:t>
            </w:r>
          </w:p>
        </w:tc>
        <w:tc>
          <w:tcPr>
            <w:tcW w:w="1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资产余额（元）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占比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固定收益类</w:t>
            </w:r>
          </w:p>
        </w:tc>
        <w:tc>
          <w:tcPr>
            <w:tcW w:w="1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1,027.95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  <w:tc>
          <w:tcPr>
            <w:tcW w:w="1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120,094,572.21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100.00%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权益类</w:t>
            </w:r>
          </w:p>
        </w:tc>
        <w:tc>
          <w:tcPr>
            <w:tcW w:w="1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  <w:tc>
          <w:tcPr>
            <w:tcW w:w="1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商品及金融衍生品类</w:t>
            </w:r>
          </w:p>
        </w:tc>
        <w:tc>
          <w:tcPr>
            <w:tcW w:w="1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  <w:tc>
          <w:tcPr>
            <w:tcW w:w="1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b/>
                <w:i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合计</w:t>
            </w:r>
          </w:p>
        </w:tc>
        <w:tc>
          <w:tcPr>
            <w:tcW w:w="1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1,027.95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  <w:tc>
          <w:tcPr>
            <w:tcW w:w="1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120,094,572.21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100.00%</w:t>
            </w:r>
          </w:p>
        </w:tc>
      </w:tr>
    </w:tbl>
    <w:p>
      <w:pPr>
        <w:widowControl/>
        <w:spacing w:line="24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 xml:space="preserve">注: 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占比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=资产余额/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穿透后的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产品总资产，占比结果保留两位小数（因第二位小数四舍五入，可能存在尾差）。</w:t>
      </w:r>
    </w:p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2.报告期末杆杠融资情况</w:t>
      </w:r>
    </w:p>
    <w:tbl>
      <w:tblPr>
        <w:tblStyle w:val="8"/>
        <w:tblW w:w="8336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89"/>
        <w:gridCol w:w="2896"/>
        <w:gridCol w:w="2451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2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金额（元）</w:t>
            </w:r>
          </w:p>
        </w:tc>
        <w:tc>
          <w:tcPr>
            <w:tcW w:w="2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占资产净值比例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2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报告期末债券回购融资余额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11,425,454.88</w:t>
            </w:r>
          </w:p>
        </w:tc>
        <w:tc>
          <w:tcPr>
            <w:tcW w:w="2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10.52%</w:t>
            </w:r>
          </w:p>
        </w:tc>
      </w:tr>
    </w:tbl>
    <w:p>
      <w:pPr>
        <w:widowControl/>
        <w:spacing w:line="480" w:lineRule="auto"/>
        <w:ind w:firstLine="420" w:firstLineChars="200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报告期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eastAsia="zh-CN"/>
        </w:rPr>
        <w:t>末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本产品债券回购融资余额未超过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该产品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资产净值的40%，本产品总资产未超过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该产品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资产净值的140%。</w:t>
      </w:r>
    </w:p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3.报告期末投资组合平均剩余期限分布比例</w:t>
      </w:r>
    </w:p>
    <w:tbl>
      <w:tblPr>
        <w:tblStyle w:val="8"/>
        <w:tblW w:w="8336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01"/>
        <w:gridCol w:w="2522"/>
        <w:gridCol w:w="2445"/>
        <w:gridCol w:w="2068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平均剩余期限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各期限资产占资产净值的比例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各期限负债占资产净值的比例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30天（含）以内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16.81%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10.52%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31-90天（含）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3.15%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--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91天-180天（含）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10.52%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--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181天-365天（含）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8.11%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--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1年-3年（含）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33.69%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--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3年以上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38.33%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--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b/>
                <w:i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宋体" w:eastAsia="黑体" w:cs="黑体"/>
                <w:b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合计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110.61%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10.52%</w:t>
            </w:r>
          </w:p>
        </w:tc>
      </w:tr>
    </w:tbl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4.报告期末资产持仓前十基本信息</w:t>
      </w:r>
    </w:p>
    <w:tbl>
      <w:tblPr>
        <w:tblStyle w:val="8"/>
        <w:tblW w:w="8336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25"/>
        <w:gridCol w:w="1448"/>
        <w:gridCol w:w="2325"/>
        <w:gridCol w:w="1772"/>
        <w:gridCol w:w="1766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4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资产类型</w:t>
            </w:r>
          </w:p>
        </w:tc>
        <w:tc>
          <w:tcPr>
            <w:tcW w:w="2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资产名称</w:t>
            </w:r>
          </w:p>
        </w:tc>
        <w:tc>
          <w:tcPr>
            <w:tcW w:w="1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资产余额（元）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占资产净值的比例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4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23广晟EB</w:t>
            </w:r>
          </w:p>
        </w:tc>
        <w:tc>
          <w:tcPr>
            <w:tcW w:w="1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6,944,749.93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6.40%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4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21人居债</w:t>
            </w:r>
          </w:p>
        </w:tc>
        <w:tc>
          <w:tcPr>
            <w:tcW w:w="1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6,811,256.54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6.27%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4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25中行二级资本债03A(BC)</w:t>
            </w:r>
          </w:p>
        </w:tc>
        <w:tc>
          <w:tcPr>
            <w:tcW w:w="1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6,713,601.48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6.18%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4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26东证C2</w:t>
            </w:r>
          </w:p>
        </w:tc>
        <w:tc>
          <w:tcPr>
            <w:tcW w:w="1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6,687,073.68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6.16%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4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21平证Y1</w:t>
            </w:r>
          </w:p>
        </w:tc>
        <w:tc>
          <w:tcPr>
            <w:tcW w:w="1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5,438,616.46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5.01%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4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25国开11</w:t>
            </w:r>
          </w:p>
        </w:tc>
        <w:tc>
          <w:tcPr>
            <w:tcW w:w="1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5,343,653.85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4.92%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4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23中金F2</w:t>
            </w:r>
          </w:p>
        </w:tc>
        <w:tc>
          <w:tcPr>
            <w:tcW w:w="1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3,465,627.04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3.19%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4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23电建01</w:t>
            </w:r>
          </w:p>
        </w:tc>
        <w:tc>
          <w:tcPr>
            <w:tcW w:w="1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3,423,409.11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3.15%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4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24豫通Y2</w:t>
            </w:r>
          </w:p>
        </w:tc>
        <w:tc>
          <w:tcPr>
            <w:tcW w:w="1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3,422,343.98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3.15%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4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23鞍钢Y2</w:t>
            </w:r>
          </w:p>
        </w:tc>
        <w:tc>
          <w:tcPr>
            <w:tcW w:w="1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3,418,581.77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3.15%</w:t>
            </w:r>
          </w:p>
        </w:tc>
      </w:tr>
    </w:tbl>
    <w:p>
      <w:pPr>
        <w:widowControl/>
        <w:spacing w:line="480" w:lineRule="auto"/>
        <w:jc w:val="left"/>
        <w:rPr>
          <w:rFonts w:hint="default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5.报告期末投资于理财产品关联方发行、承销的证券</w:t>
      </w:r>
    </w:p>
    <w:tbl>
      <w:tblPr>
        <w:tblStyle w:val="8"/>
        <w:tblW w:w="85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9"/>
        <w:gridCol w:w="1347"/>
        <w:gridCol w:w="1202"/>
        <w:gridCol w:w="2467"/>
        <w:gridCol w:w="1440"/>
        <w:gridCol w:w="14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资产名称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投资金额（万元）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关联方名称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关联方角色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关联方类型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1 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24港务Y1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133.77 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厦门港务控股集团有限公司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发行人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托管机构的主要股东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25北京银行永续债01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202.20 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兴业银行股份有限公司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25南京银行二级资本债01BC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135.10 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兴业银行股份有限公司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25平安银行永续债01BC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333.06 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兴业银行股份有限公司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25兴业银行永续债01BC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134.97 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兴业银行股份有限公司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发行人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25中粮MTN007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335.41 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兴业银行股份有限公司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26港务Y1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330.95 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厦门港务控股集团有限公司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发行人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托管机构的主要股东</w:t>
            </w:r>
          </w:p>
        </w:tc>
      </w:tr>
    </w:tbl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注：上述披露信息为该产品本报告期末日终的投资情况；以</w:t>
      </w:r>
      <w:bookmarkStart w:id="0" w:name="_GoBack"/>
      <w:bookmarkEnd w:id="0"/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上投资于管理人、托管人及其主要股东、控股公司等关联方发行或承销的证券符合理财产品的投资目标、投资策略和投资者利益优先原则，按照商业原则，以不优于对非关联方同类交易的条件进行。</w:t>
      </w:r>
    </w:p>
    <w:p>
      <w:pPr>
        <w:widowControl/>
        <w:spacing w:line="480" w:lineRule="auto"/>
        <w:jc w:val="both"/>
        <w:rPr>
          <w:rFonts w:hint="default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</w:p>
    <w:p>
      <w:pPr>
        <w:widowControl/>
        <w:spacing w:line="480" w:lineRule="auto"/>
        <w:jc w:val="left"/>
        <w:rPr>
          <w:rFonts w:hint="default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  <w:t>四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  <w:t>、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  <w:t>投资组合的流动性风险分析</w:t>
      </w:r>
    </w:p>
    <w:p>
      <w:pPr>
        <w:widowControl/>
        <w:spacing w:line="480" w:lineRule="auto"/>
        <w:ind w:firstLine="420" w:firstLineChars="200"/>
        <w:jc w:val="left"/>
        <w:rPr>
          <w:rFonts w:hint="default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本产品以固定收益类资产为主要投资标的，报告期内，本理财产品严格遵守相关法律法规以及产品销售协议，所投资产组合的流动性与投资者赎回需求相匹配，报告期内未发生流动性风险。</w:t>
      </w:r>
    </w:p>
    <w:p>
      <w:pPr>
        <w:widowControl/>
        <w:spacing w:line="480" w:lineRule="auto"/>
        <w:jc w:val="left"/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</w:pPr>
    </w:p>
    <w:p>
      <w:pPr>
        <w:widowControl/>
        <w:numPr>
          <w:ilvl w:val="0"/>
          <w:numId w:val="1"/>
        </w:numPr>
        <w:spacing w:line="480" w:lineRule="auto"/>
        <w:jc w:val="left"/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  <w:t>投资账户信息</w:t>
      </w:r>
    </w:p>
    <w:tbl>
      <w:tblPr>
        <w:tblStyle w:val="9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47"/>
        <w:gridCol w:w="2647"/>
        <w:gridCol w:w="32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4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账户类型</w:t>
            </w:r>
          </w:p>
        </w:tc>
        <w:tc>
          <w:tcPr>
            <w:tcW w:w="2647" w:type="dxa"/>
          </w:tcPr>
          <w:p>
            <w:pPr>
              <w:widowControl/>
              <w:numPr>
                <w:ilvl w:val="0"/>
                <w:numId w:val="0"/>
              </w:numPr>
              <w:spacing w:line="240" w:lineRule="auto"/>
              <w:jc w:val="center"/>
              <w:rPr>
                <w:rFonts w:hint="default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户名</w:t>
            </w:r>
          </w:p>
        </w:tc>
        <w:tc>
          <w:tcPr>
            <w:tcW w:w="3228" w:type="dxa"/>
          </w:tcPr>
          <w:p>
            <w:pPr>
              <w:widowControl/>
              <w:numPr>
                <w:ilvl w:val="0"/>
                <w:numId w:val="0"/>
              </w:numPr>
              <w:spacing w:line="240" w:lineRule="auto"/>
              <w:jc w:val="center"/>
              <w:rPr>
                <w:rFonts w:hint="default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账号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4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hint="default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产品托管户</w:t>
            </w:r>
          </w:p>
        </w:tc>
        <w:tc>
          <w:tcPr>
            <w:tcW w:w="2647" w:type="dxa"/>
          </w:tcPr>
          <w:p>
            <w:pPr>
              <w:widowControl/>
              <w:numPr>
                <w:ilvl w:val="0"/>
                <w:numId w:val="0"/>
              </w:numPr>
              <w:spacing w:line="240" w:lineRule="auto"/>
              <w:jc w:val="center"/>
              <w:rPr>
                <w:rFonts w:hint="default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深圳农村商业银行股份有限公司-信通理财-圳元金</w:t>
            </w: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年年</w:t>
            </w:r>
            <w:r>
              <w:rPr>
                <w:rFonts w:hint="default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盈理财产品</w:t>
            </w: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25</w:t>
            </w:r>
          </w:p>
        </w:tc>
        <w:tc>
          <w:tcPr>
            <w:tcW w:w="3228" w:type="dxa"/>
          </w:tcPr>
          <w:p>
            <w:pPr>
              <w:widowControl/>
              <w:numPr>
                <w:ilvl w:val="0"/>
                <w:numId w:val="0"/>
              </w:numPr>
              <w:spacing w:line="240" w:lineRule="auto"/>
              <w:jc w:val="center"/>
              <w:rPr>
                <w:rFonts w:hint="default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337010100102409266</w:t>
            </w:r>
          </w:p>
        </w:tc>
      </w:tr>
    </w:tbl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</w:p>
    <w:p>
      <w:pPr>
        <w:widowControl/>
        <w:spacing w:line="480" w:lineRule="auto"/>
        <w:ind w:firstLine="420" w:firstLineChars="200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</w:p>
    <w:p>
      <w:pPr>
        <w:widowControl/>
        <w:spacing w:line="480" w:lineRule="auto"/>
        <w:jc w:val="right"/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深圳农村商业银行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股份有限公司</w:t>
      </w:r>
    </w:p>
    <w:p>
      <w:pPr>
        <w:widowControl/>
        <w:spacing w:line="480" w:lineRule="auto"/>
        <w:jc w:val="righ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202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6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年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4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月</w:t>
      </w:r>
      <w:r>
        <w:rPr>
          <w:rFonts w:hint="default" w:ascii="黑体" w:hAnsi="黑体" w:eastAsia="黑体" w:cs="黑体"/>
          <w:color w:val="auto"/>
          <w:kern w:val="0"/>
          <w:sz w:val="21"/>
          <w:szCs w:val="21"/>
          <w:lang w:val="en-US"/>
        </w:rPr>
        <w:t>21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B5D8D86"/>
    <w:multiLevelType w:val="singleLevel"/>
    <w:tmpl w:val="2B5D8D86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k1MDg0MWJiMzY5OTc3YmY2NDJkYzA3ZDQwYTU0ZjcifQ=="/>
  </w:docVars>
  <w:rsids>
    <w:rsidRoot w:val="00487C9E"/>
    <w:rsid w:val="0000104C"/>
    <w:rsid w:val="00040399"/>
    <w:rsid w:val="0005281C"/>
    <w:rsid w:val="00062668"/>
    <w:rsid w:val="00070139"/>
    <w:rsid w:val="00084E2A"/>
    <w:rsid w:val="00097918"/>
    <w:rsid w:val="000C3CC3"/>
    <w:rsid w:val="000C5782"/>
    <w:rsid w:val="000D0B6C"/>
    <w:rsid w:val="00110D1D"/>
    <w:rsid w:val="00113705"/>
    <w:rsid w:val="00113D12"/>
    <w:rsid w:val="00130E35"/>
    <w:rsid w:val="00141F61"/>
    <w:rsid w:val="00144F82"/>
    <w:rsid w:val="00160D33"/>
    <w:rsid w:val="001A0954"/>
    <w:rsid w:val="001A25D7"/>
    <w:rsid w:val="001B38C6"/>
    <w:rsid w:val="001C076B"/>
    <w:rsid w:val="001C14C2"/>
    <w:rsid w:val="00250A7E"/>
    <w:rsid w:val="00263100"/>
    <w:rsid w:val="0028673D"/>
    <w:rsid w:val="002D7D6D"/>
    <w:rsid w:val="002E4FBD"/>
    <w:rsid w:val="002F5441"/>
    <w:rsid w:val="00304BF9"/>
    <w:rsid w:val="00335702"/>
    <w:rsid w:val="00355F2D"/>
    <w:rsid w:val="003B26F0"/>
    <w:rsid w:val="003C2BAE"/>
    <w:rsid w:val="003C50A1"/>
    <w:rsid w:val="003C7E40"/>
    <w:rsid w:val="003F1320"/>
    <w:rsid w:val="00487C9E"/>
    <w:rsid w:val="004E7534"/>
    <w:rsid w:val="00515564"/>
    <w:rsid w:val="00525034"/>
    <w:rsid w:val="00573D79"/>
    <w:rsid w:val="005859D4"/>
    <w:rsid w:val="005B3B6E"/>
    <w:rsid w:val="005C7423"/>
    <w:rsid w:val="005D4AD1"/>
    <w:rsid w:val="00682281"/>
    <w:rsid w:val="00696584"/>
    <w:rsid w:val="006A2F15"/>
    <w:rsid w:val="006D520C"/>
    <w:rsid w:val="007224C7"/>
    <w:rsid w:val="00733747"/>
    <w:rsid w:val="00734E4B"/>
    <w:rsid w:val="00740298"/>
    <w:rsid w:val="00766410"/>
    <w:rsid w:val="007731FC"/>
    <w:rsid w:val="00780B1A"/>
    <w:rsid w:val="007B616D"/>
    <w:rsid w:val="007C2368"/>
    <w:rsid w:val="007F2511"/>
    <w:rsid w:val="007F5D10"/>
    <w:rsid w:val="00840A8A"/>
    <w:rsid w:val="00851107"/>
    <w:rsid w:val="008612C2"/>
    <w:rsid w:val="00867136"/>
    <w:rsid w:val="00887FF6"/>
    <w:rsid w:val="008C3D56"/>
    <w:rsid w:val="009132C8"/>
    <w:rsid w:val="00947B5B"/>
    <w:rsid w:val="00950E93"/>
    <w:rsid w:val="00951184"/>
    <w:rsid w:val="00957929"/>
    <w:rsid w:val="009B2AA6"/>
    <w:rsid w:val="00A0333C"/>
    <w:rsid w:val="00A05174"/>
    <w:rsid w:val="00A152EC"/>
    <w:rsid w:val="00A55592"/>
    <w:rsid w:val="00AD30A1"/>
    <w:rsid w:val="00AD407E"/>
    <w:rsid w:val="00B03202"/>
    <w:rsid w:val="00B059D6"/>
    <w:rsid w:val="00B165B1"/>
    <w:rsid w:val="00B631BB"/>
    <w:rsid w:val="00B70C46"/>
    <w:rsid w:val="00BC5826"/>
    <w:rsid w:val="00BF6B04"/>
    <w:rsid w:val="00C20018"/>
    <w:rsid w:val="00C36473"/>
    <w:rsid w:val="00C607EF"/>
    <w:rsid w:val="00C632A6"/>
    <w:rsid w:val="00C943C1"/>
    <w:rsid w:val="00CC0765"/>
    <w:rsid w:val="00CD1230"/>
    <w:rsid w:val="00D11D00"/>
    <w:rsid w:val="00D20E8D"/>
    <w:rsid w:val="00D4372E"/>
    <w:rsid w:val="00DA5006"/>
    <w:rsid w:val="00DC7F96"/>
    <w:rsid w:val="00E53426"/>
    <w:rsid w:val="00ED156C"/>
    <w:rsid w:val="00ED7C3D"/>
    <w:rsid w:val="00F429BA"/>
    <w:rsid w:val="00F54F9A"/>
    <w:rsid w:val="00F81270"/>
    <w:rsid w:val="00F81D4D"/>
    <w:rsid w:val="00F9466B"/>
    <w:rsid w:val="00F9602A"/>
    <w:rsid w:val="00FA2DA8"/>
    <w:rsid w:val="00FB2127"/>
    <w:rsid w:val="00FB40C4"/>
    <w:rsid w:val="00FD3432"/>
    <w:rsid w:val="00FF7A79"/>
    <w:rsid w:val="011814AA"/>
    <w:rsid w:val="01A71335"/>
    <w:rsid w:val="02ED592F"/>
    <w:rsid w:val="04B045C6"/>
    <w:rsid w:val="04B1778E"/>
    <w:rsid w:val="07070A2F"/>
    <w:rsid w:val="077C087A"/>
    <w:rsid w:val="081C7244"/>
    <w:rsid w:val="08950B15"/>
    <w:rsid w:val="091B6265"/>
    <w:rsid w:val="09291EA3"/>
    <w:rsid w:val="0B4533DE"/>
    <w:rsid w:val="0BE809A7"/>
    <w:rsid w:val="0CB04A1A"/>
    <w:rsid w:val="0E1D6C15"/>
    <w:rsid w:val="0FCB579C"/>
    <w:rsid w:val="10DB17E6"/>
    <w:rsid w:val="130013FA"/>
    <w:rsid w:val="16BB3186"/>
    <w:rsid w:val="19942E89"/>
    <w:rsid w:val="1ADD6CD2"/>
    <w:rsid w:val="1B217DE8"/>
    <w:rsid w:val="1BBE6A2F"/>
    <w:rsid w:val="1C1A75C0"/>
    <w:rsid w:val="1CF8290D"/>
    <w:rsid w:val="1F314840"/>
    <w:rsid w:val="1F635B53"/>
    <w:rsid w:val="20935426"/>
    <w:rsid w:val="2222403B"/>
    <w:rsid w:val="225A4BD6"/>
    <w:rsid w:val="22AB0759"/>
    <w:rsid w:val="23FB2AFA"/>
    <w:rsid w:val="2474158A"/>
    <w:rsid w:val="24986533"/>
    <w:rsid w:val="25EE3155"/>
    <w:rsid w:val="269C1DB1"/>
    <w:rsid w:val="26F868F6"/>
    <w:rsid w:val="2B90601A"/>
    <w:rsid w:val="2C0B7ABB"/>
    <w:rsid w:val="2C5245F9"/>
    <w:rsid w:val="2C604CFD"/>
    <w:rsid w:val="2CE65D4A"/>
    <w:rsid w:val="2E38185D"/>
    <w:rsid w:val="307B5EAB"/>
    <w:rsid w:val="309045F9"/>
    <w:rsid w:val="31275DB1"/>
    <w:rsid w:val="31E531F6"/>
    <w:rsid w:val="3258664C"/>
    <w:rsid w:val="33712631"/>
    <w:rsid w:val="36361292"/>
    <w:rsid w:val="38032BA1"/>
    <w:rsid w:val="386055AE"/>
    <w:rsid w:val="3A320E69"/>
    <w:rsid w:val="3BBC5C7C"/>
    <w:rsid w:val="3BC05242"/>
    <w:rsid w:val="3BCB3388"/>
    <w:rsid w:val="3DDC7B0C"/>
    <w:rsid w:val="3E52708B"/>
    <w:rsid w:val="3FF872DE"/>
    <w:rsid w:val="419661DE"/>
    <w:rsid w:val="41B00AE5"/>
    <w:rsid w:val="434B6BB2"/>
    <w:rsid w:val="43632430"/>
    <w:rsid w:val="450B17C2"/>
    <w:rsid w:val="46317436"/>
    <w:rsid w:val="468F4626"/>
    <w:rsid w:val="47140486"/>
    <w:rsid w:val="471C5A5C"/>
    <w:rsid w:val="490262FD"/>
    <w:rsid w:val="49C57F08"/>
    <w:rsid w:val="4A9272A9"/>
    <w:rsid w:val="4B0E6C3C"/>
    <w:rsid w:val="4B2D6211"/>
    <w:rsid w:val="4B8C01DC"/>
    <w:rsid w:val="4D1B3FA7"/>
    <w:rsid w:val="4DB25C0B"/>
    <w:rsid w:val="4E5D130A"/>
    <w:rsid w:val="4F1A043E"/>
    <w:rsid w:val="4F3A492D"/>
    <w:rsid w:val="4FF4424F"/>
    <w:rsid w:val="508771BD"/>
    <w:rsid w:val="525844E9"/>
    <w:rsid w:val="52916310"/>
    <w:rsid w:val="541944C0"/>
    <w:rsid w:val="541C004B"/>
    <w:rsid w:val="54602532"/>
    <w:rsid w:val="54BC5C59"/>
    <w:rsid w:val="559F3B48"/>
    <w:rsid w:val="5607779B"/>
    <w:rsid w:val="562014F1"/>
    <w:rsid w:val="564F1F21"/>
    <w:rsid w:val="567E795B"/>
    <w:rsid w:val="56CD7180"/>
    <w:rsid w:val="5A9A0B45"/>
    <w:rsid w:val="5AD07B64"/>
    <w:rsid w:val="5C3D4A45"/>
    <w:rsid w:val="5D7921FA"/>
    <w:rsid w:val="5E6B47A2"/>
    <w:rsid w:val="5EBE4239"/>
    <w:rsid w:val="63702285"/>
    <w:rsid w:val="64521FA7"/>
    <w:rsid w:val="645E2A5F"/>
    <w:rsid w:val="64712F05"/>
    <w:rsid w:val="65A227EB"/>
    <w:rsid w:val="66515502"/>
    <w:rsid w:val="6783330B"/>
    <w:rsid w:val="680C5973"/>
    <w:rsid w:val="6A6871B9"/>
    <w:rsid w:val="6ADB2796"/>
    <w:rsid w:val="6BBE5589"/>
    <w:rsid w:val="6D211366"/>
    <w:rsid w:val="6F753458"/>
    <w:rsid w:val="71A17055"/>
    <w:rsid w:val="72E26BB4"/>
    <w:rsid w:val="72EE345D"/>
    <w:rsid w:val="7650203B"/>
    <w:rsid w:val="78990AC0"/>
    <w:rsid w:val="7CD04EB4"/>
    <w:rsid w:val="7E7C1A93"/>
    <w:rsid w:val="7E990276"/>
    <w:rsid w:val="7EED10C2"/>
    <w:rsid w:val="7EFD6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link w:val="22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3">
    <w:name w:val="annotation text"/>
    <w:basedOn w:val="1"/>
    <w:semiHidden/>
    <w:unhideWhenUsed/>
    <w:qFormat/>
    <w:uiPriority w:val="99"/>
    <w:pPr>
      <w:jc w:val="left"/>
    </w:pPr>
  </w:style>
  <w:style w:type="paragraph" w:styleId="4">
    <w:name w:val="Balloon Text"/>
    <w:basedOn w:val="1"/>
    <w:link w:val="19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2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2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semiHidden/>
    <w:unhideWhenUsed/>
    <w:qFormat/>
    <w:uiPriority w:val="99"/>
    <w:pPr>
      <w:widowControl/>
      <w:spacing w:line="300" w:lineRule="atLeast"/>
      <w:jc w:val="left"/>
    </w:pPr>
    <w:rPr>
      <w:rFonts w:ascii="宋体" w:hAnsi="宋体" w:eastAsia="宋体" w:cs="宋体"/>
      <w:kern w:val="0"/>
      <w:szCs w:val="21"/>
    </w:rPr>
  </w:style>
  <w:style w:type="table" w:styleId="9">
    <w:name w:val="Table Grid"/>
    <w:basedOn w:val="8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1">
    <w:name w:val="Hyperlink"/>
    <w:basedOn w:val="10"/>
    <w:semiHidden/>
    <w:unhideWhenUsed/>
    <w:qFormat/>
    <w:uiPriority w:val="99"/>
    <w:rPr>
      <w:color w:val="337AB7"/>
      <w:u w:val="none"/>
      <w:shd w:val="clear" w:color="auto" w:fill="auto"/>
    </w:rPr>
  </w:style>
  <w:style w:type="paragraph" w:customStyle="1" w:styleId="12">
    <w:name w:val="related-article-recommend-content-title"/>
    <w:basedOn w:val="1"/>
    <w:qFormat/>
    <w:uiPriority w:val="0"/>
    <w:pPr>
      <w:widowControl/>
      <w:spacing w:line="300" w:lineRule="atLeast"/>
      <w:jc w:val="left"/>
    </w:pPr>
    <w:rPr>
      <w:rFonts w:ascii="宋体" w:hAnsi="宋体" w:eastAsia="宋体" w:cs="宋体"/>
      <w:kern w:val="0"/>
      <w:szCs w:val="21"/>
    </w:rPr>
  </w:style>
  <w:style w:type="paragraph" w:customStyle="1" w:styleId="13">
    <w:name w:val="p0"/>
    <w:basedOn w:val="1"/>
    <w:qFormat/>
    <w:uiPriority w:val="0"/>
    <w:pPr>
      <w:widowControl/>
      <w:spacing w:line="300" w:lineRule="atLeast"/>
      <w:jc w:val="left"/>
    </w:pPr>
    <w:rPr>
      <w:rFonts w:ascii="宋体" w:hAnsi="宋体" w:eastAsia="宋体" w:cs="宋体"/>
      <w:kern w:val="0"/>
      <w:szCs w:val="21"/>
    </w:rPr>
  </w:style>
  <w:style w:type="character" w:customStyle="1" w:styleId="14">
    <w:name w:val="item-label3"/>
    <w:basedOn w:val="10"/>
    <w:qFormat/>
    <w:uiPriority w:val="0"/>
    <w:rPr>
      <w:color w:val="555E6A"/>
    </w:rPr>
  </w:style>
  <w:style w:type="paragraph" w:customStyle="1" w:styleId="15">
    <w:name w:val="HTML Top of Form"/>
    <w:basedOn w:val="1"/>
    <w:next w:val="1"/>
    <w:link w:val="16"/>
    <w:semiHidden/>
    <w:unhideWhenUsed/>
    <w:qFormat/>
    <w:uiPriority w:val="99"/>
    <w:pPr>
      <w:widowControl/>
      <w:pBdr>
        <w:bottom w:val="single" w:color="auto" w:sz="6" w:space="1"/>
      </w:pBdr>
      <w:jc w:val="center"/>
    </w:pPr>
    <w:rPr>
      <w:rFonts w:ascii="Arial" w:hAnsi="Arial" w:eastAsia="宋体" w:cs="Arial"/>
      <w:vanish/>
      <w:kern w:val="0"/>
      <w:sz w:val="16"/>
      <w:szCs w:val="16"/>
    </w:rPr>
  </w:style>
  <w:style w:type="character" w:customStyle="1" w:styleId="16">
    <w:name w:val="z-窗体顶端 Char"/>
    <w:basedOn w:val="10"/>
    <w:link w:val="15"/>
    <w:semiHidden/>
    <w:qFormat/>
    <w:uiPriority w:val="99"/>
    <w:rPr>
      <w:rFonts w:ascii="Arial" w:hAnsi="Arial" w:eastAsia="宋体" w:cs="Arial"/>
      <w:vanish/>
      <w:kern w:val="0"/>
      <w:sz w:val="16"/>
      <w:szCs w:val="16"/>
    </w:rPr>
  </w:style>
  <w:style w:type="paragraph" w:customStyle="1" w:styleId="17">
    <w:name w:val="HTML Bottom of Form"/>
    <w:basedOn w:val="1"/>
    <w:next w:val="1"/>
    <w:link w:val="18"/>
    <w:semiHidden/>
    <w:unhideWhenUsed/>
    <w:qFormat/>
    <w:uiPriority w:val="99"/>
    <w:pPr>
      <w:widowControl/>
      <w:pBdr>
        <w:top w:val="single" w:color="auto" w:sz="6" w:space="1"/>
      </w:pBdr>
      <w:jc w:val="center"/>
    </w:pPr>
    <w:rPr>
      <w:rFonts w:ascii="Arial" w:hAnsi="Arial" w:eastAsia="宋体" w:cs="Arial"/>
      <w:vanish/>
      <w:kern w:val="0"/>
      <w:sz w:val="16"/>
      <w:szCs w:val="16"/>
    </w:rPr>
  </w:style>
  <w:style w:type="character" w:customStyle="1" w:styleId="18">
    <w:name w:val="z-窗体底端 Char"/>
    <w:basedOn w:val="10"/>
    <w:link w:val="17"/>
    <w:semiHidden/>
    <w:qFormat/>
    <w:uiPriority w:val="99"/>
    <w:rPr>
      <w:rFonts w:ascii="Arial" w:hAnsi="Arial" w:eastAsia="宋体" w:cs="Arial"/>
      <w:vanish/>
      <w:kern w:val="0"/>
      <w:sz w:val="16"/>
      <w:szCs w:val="16"/>
    </w:rPr>
  </w:style>
  <w:style w:type="character" w:customStyle="1" w:styleId="19">
    <w:name w:val="批注框文本 Char"/>
    <w:basedOn w:val="10"/>
    <w:link w:val="4"/>
    <w:semiHidden/>
    <w:qFormat/>
    <w:uiPriority w:val="99"/>
    <w:rPr>
      <w:sz w:val="18"/>
      <w:szCs w:val="18"/>
    </w:rPr>
  </w:style>
  <w:style w:type="character" w:customStyle="1" w:styleId="20">
    <w:name w:val="页眉 Char"/>
    <w:basedOn w:val="10"/>
    <w:link w:val="6"/>
    <w:semiHidden/>
    <w:qFormat/>
    <w:uiPriority w:val="99"/>
    <w:rPr>
      <w:sz w:val="18"/>
      <w:szCs w:val="18"/>
    </w:rPr>
  </w:style>
  <w:style w:type="character" w:customStyle="1" w:styleId="21">
    <w:name w:val="页脚 Char"/>
    <w:basedOn w:val="10"/>
    <w:link w:val="5"/>
    <w:semiHidden/>
    <w:qFormat/>
    <w:uiPriority w:val="99"/>
    <w:rPr>
      <w:sz w:val="18"/>
      <w:szCs w:val="18"/>
    </w:rPr>
  </w:style>
  <w:style w:type="character" w:customStyle="1" w:styleId="22">
    <w:name w:val="文档结构图 Char"/>
    <w:basedOn w:val="10"/>
    <w:link w:val="2"/>
    <w:semiHidden/>
    <w:qFormat/>
    <w:uiPriority w:val="99"/>
    <w:rPr>
      <w:rFonts w:ascii="宋体" w:eastAsia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4</Pages>
  <Words>911</Words>
  <Characters>1691</Characters>
  <Lines>29</Lines>
  <Paragraphs>8</Paragraphs>
  <TotalTime>0</TotalTime>
  <ScaleCrop>false</ScaleCrop>
  <LinksUpToDate>false</LinksUpToDate>
  <CharactersWithSpaces>1700</CharactersWithSpaces>
  <Application>WPS Office_11.8.2.12265_F1E327BC-269C-435d-A152-05C5408002CA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2020-08-17T08:54:00Z</dcterms:created>
  <dc:creator>Lenovo</dc:creator>
  <cp:lastModifiedBy>子芸</cp:lastModifiedBy>
  <cp:lastPrinted>2021-10-25T06:40:00Z</cp:lastPrinted>
  <dcterms:modified xsi:type="dcterms:W3CDTF">2026-04-14T10:43:51Z</dcterms:modified>
  <dc:title> 信通理财-圳元金年年盈理财产品25 2023年年度报告</dc:title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2052-11.8.2.12265</vt:lpwstr>
  </property>
  <property fmtid="{D5CDD505-2E9C-101B-9397-08002B2CF9AE}" pid="3" name="ICV">
    <vt:lpwstr>F7E7797FC5B147379485ED762C1C7DEE</vt:lpwstr>
  </property>
</Properties>
</file>