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仿宋" w:eastAsia="方正小标宋简体" w:cs="方正仿宋简体"/>
          <w:color w:val="000000"/>
          <w:sz w:val="44"/>
          <w:szCs w:val="44"/>
        </w:rPr>
      </w:pPr>
      <w:bookmarkStart w:id="1" w:name="_GoBack"/>
      <w:bookmarkEnd w:id="1"/>
      <w:bookmarkStart w:id="0" w:name="zw"/>
      <w:r>
        <w:rPr>
          <w:rFonts w:hint="eastAsia" w:ascii="方正小标宋简体" w:hAnsi="方正小标宋简体" w:eastAsia="方正小标宋简体" w:cs="方正小标宋简体"/>
          <w:color w:val="000000"/>
          <w:sz w:val="44"/>
          <w:szCs w:val="44"/>
        </w:rPr>
        <w:t>深圳农商银行信通借记（个人）卡章程</w:t>
      </w:r>
    </w:p>
    <w:p>
      <w:pPr>
        <w:spacing w:line="560" w:lineRule="exact"/>
        <w:jc w:val="center"/>
        <w:rPr>
          <w:rFonts w:ascii="方正小标宋简体" w:hAnsi="仿宋" w:eastAsia="方正小标宋简体" w:cs="方正仿宋简体"/>
          <w:sz w:val="44"/>
          <w:szCs w:val="44"/>
        </w:rPr>
      </w:pPr>
      <w:r>
        <w:rPr>
          <w:rFonts w:hint="eastAsia" w:ascii="方正小标宋简体" w:hAnsi="方正小标宋简体" w:eastAsia="方正小标宋简体" w:cs="方正小标宋简体"/>
          <w:sz w:val="44"/>
          <w:szCs w:val="44"/>
        </w:rPr>
        <w:t>（2025年版）</w:t>
      </w:r>
    </w:p>
    <w:p>
      <w:pPr>
        <w:spacing w:line="560" w:lineRule="exact"/>
        <w:jc w:val="center"/>
        <w:rPr>
          <w:rFonts w:ascii="仿宋" w:hAnsi="仿宋" w:eastAsia="仿宋" w:cs="方正仿宋简体"/>
          <w:color w:val="000000"/>
          <w:sz w:val="32"/>
          <w:szCs w:val="32"/>
        </w:rPr>
      </w:pPr>
    </w:p>
    <w:p>
      <w:pPr>
        <w:spacing w:line="560" w:lineRule="exact"/>
        <w:jc w:val="center"/>
        <w:rPr>
          <w:rFonts w:ascii="仿宋" w:hAnsi="仿宋" w:eastAsia="仿宋" w:cs="黑体"/>
          <w:b/>
          <w:bCs/>
          <w:color w:val="000000"/>
          <w:sz w:val="32"/>
          <w:szCs w:val="32"/>
        </w:rPr>
      </w:pPr>
      <w:r>
        <w:rPr>
          <w:rFonts w:hint="eastAsia" w:ascii="仿宋" w:hAnsi="仿宋" w:eastAsia="仿宋" w:cs="黑体"/>
          <w:b/>
          <w:bCs/>
          <w:color w:val="000000"/>
          <w:sz w:val="32"/>
          <w:szCs w:val="32"/>
        </w:rPr>
        <w:t>第一章  总则</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第一条 </w:t>
      </w:r>
      <w:r>
        <w:rPr>
          <w:rFonts w:hint="eastAsia" w:ascii="仿宋" w:hAnsi="仿宋" w:eastAsia="仿宋" w:cs="仿宋"/>
          <w:sz w:val="32"/>
          <w:szCs w:val="32"/>
        </w:rPr>
        <w:t>为适应业务发展需要，提高服务质量，同时为规范深圳农商银行（以下简称“我行”）和持卡人的权利义务</w:t>
      </w:r>
      <w:r>
        <w:rPr>
          <w:rFonts w:hint="eastAsia" w:ascii="仿宋" w:hAnsi="仿宋" w:eastAsia="仿宋" w:cs="仿宋"/>
          <w:color w:val="000000"/>
          <w:sz w:val="32"/>
          <w:szCs w:val="32"/>
        </w:rPr>
        <w:t>制订本章程。</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第二条 </w:t>
      </w:r>
      <w:r>
        <w:rPr>
          <w:rFonts w:hint="eastAsia" w:ascii="仿宋" w:hAnsi="仿宋" w:eastAsia="仿宋" w:cs="仿宋"/>
          <w:color w:val="000000"/>
          <w:sz w:val="32"/>
          <w:szCs w:val="32"/>
        </w:rPr>
        <w:t>信通借记(个人)卡（以下简称“信通卡”）是我行向个人发行的用于查询及办理账务交易的借记卡。</w:t>
      </w:r>
    </w:p>
    <w:p>
      <w:pPr>
        <w:spacing w:line="560" w:lineRule="exact"/>
        <w:ind w:firstLine="643" w:firstLineChars="200"/>
        <w:rPr>
          <w:rFonts w:ascii="仿宋" w:hAnsi="仿宋" w:eastAsia="仿宋" w:cs="仿宋"/>
          <w:sz w:val="32"/>
          <w:szCs w:val="32"/>
        </w:rPr>
      </w:pPr>
      <w:r>
        <w:rPr>
          <w:rFonts w:hint="eastAsia" w:ascii="仿宋" w:hAnsi="仿宋" w:eastAsia="仿宋" w:cs="仿宋"/>
          <w:b/>
          <w:color w:val="000000"/>
          <w:sz w:val="32"/>
          <w:szCs w:val="32"/>
        </w:rPr>
        <w:t>第三条</w:t>
      </w:r>
      <w:r>
        <w:rPr>
          <w:rFonts w:hint="eastAsia" w:ascii="仿宋" w:hAnsi="仿宋" w:eastAsia="仿宋" w:cs="仿宋"/>
          <w:color w:val="000000"/>
          <w:sz w:val="32"/>
          <w:szCs w:val="32"/>
        </w:rPr>
        <w:t xml:space="preserve"> 信通卡按存储介质类型分为信通磁条卡和信通IC卡，其中信通IC卡按是否带磁条分为IC芯片磁条复合卡和纯IC芯片卡；</w:t>
      </w:r>
      <w:r>
        <w:rPr>
          <w:rFonts w:hint="eastAsia" w:ascii="仿宋" w:hAnsi="仿宋" w:eastAsia="仿宋" w:cs="仿宋"/>
          <w:sz w:val="32"/>
          <w:szCs w:val="32"/>
        </w:rPr>
        <w:t>按目标客户类型分为普通卡、金卡、白金卡、钻石卡及其他类型卡；信通</w:t>
      </w:r>
      <w:r>
        <w:rPr>
          <w:rFonts w:hint="eastAsia" w:ascii="仿宋" w:hAnsi="仿宋" w:eastAsia="仿宋" w:cs="仿宋"/>
          <w:color w:val="000000"/>
          <w:sz w:val="32"/>
          <w:szCs w:val="32"/>
        </w:rPr>
        <w:t>IC卡</w:t>
      </w:r>
      <w:r>
        <w:rPr>
          <w:rFonts w:hint="eastAsia" w:ascii="仿宋" w:hAnsi="仿宋" w:eastAsia="仿宋" w:cs="仿宋"/>
          <w:sz w:val="32"/>
          <w:szCs w:val="32"/>
        </w:rPr>
        <w:t>按芯片的读取方式分为接触式IC 卡、非接触式IC 卡及同时支持接触式和非接触式的双界面IC 卡；按照是否配发卡片分为实体卡和电子卡；按照使用功能分为标准卡、联名卡/认同卡。</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第四条</w:t>
      </w:r>
      <w:r>
        <w:rPr>
          <w:rFonts w:hint="eastAsia" w:ascii="仿宋" w:hAnsi="仿宋" w:eastAsia="仿宋" w:cs="仿宋"/>
          <w:color w:val="000000"/>
          <w:sz w:val="32"/>
          <w:szCs w:val="32"/>
        </w:rPr>
        <w:t xml:space="preserve"> 信通卡可在我行业务系统、我行加入的银行卡联网系统以及移动通讯工具等服务载体按相关规定办理业务。</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第五条</w:t>
      </w:r>
      <w:r>
        <w:rPr>
          <w:rFonts w:hint="eastAsia" w:ascii="仿宋" w:hAnsi="仿宋" w:eastAsia="仿宋" w:cs="仿宋"/>
          <w:color w:val="000000"/>
          <w:sz w:val="32"/>
          <w:szCs w:val="32"/>
        </w:rPr>
        <w:t xml:space="preserve"> 本章程所称电子渠道是指我行及与我行联网机构的智能柜台、自助存取款机（CRS）、自助取款机（ATM）、POS、我行电话银行（含人工坐席）、网上银行、手机银行及经监管部门批准开通的其他电子渠道。</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第六条 </w:t>
      </w:r>
      <w:r>
        <w:rPr>
          <w:rFonts w:hint="eastAsia" w:ascii="仿宋" w:hAnsi="仿宋" w:eastAsia="仿宋" w:cs="仿宋"/>
          <w:color w:val="000000"/>
          <w:sz w:val="32"/>
          <w:szCs w:val="32"/>
        </w:rPr>
        <w:t>本章程所称“相关规定”是指国家金融监督管理总局、中国人民银行、政府相关部门等颁布的法律法规以及银行卡清算机构和我行制定的制度。</w:t>
      </w:r>
    </w:p>
    <w:p>
      <w:pPr>
        <w:autoSpaceDE w:val="0"/>
        <w:autoSpaceDN w:val="0"/>
        <w:spacing w:line="560" w:lineRule="exact"/>
        <w:ind w:firstLine="643" w:firstLineChars="200"/>
        <w:rPr>
          <w:rFonts w:ascii="方正小标宋简体" w:hAnsi="仿宋" w:eastAsia="方正小标宋简体" w:cs="方正仿宋简体"/>
          <w:sz w:val="32"/>
          <w:szCs w:val="32"/>
        </w:rPr>
      </w:pPr>
      <w:r>
        <w:rPr>
          <w:rFonts w:hint="eastAsia" w:ascii="仿宋" w:hAnsi="仿宋" w:eastAsia="仿宋" w:cs="仿宋"/>
          <w:b/>
          <w:color w:val="000000"/>
          <w:sz w:val="32"/>
          <w:szCs w:val="32"/>
        </w:rPr>
        <w:t xml:space="preserve">第七条 </w:t>
      </w:r>
      <w:r>
        <w:rPr>
          <w:rFonts w:hint="eastAsia" w:ascii="仿宋" w:hAnsi="仿宋" w:eastAsia="仿宋" w:cs="仿宋"/>
          <w:sz w:val="32"/>
          <w:szCs w:val="32"/>
        </w:rPr>
        <w:t>我行办理信通卡业务以及客户申请及使用信通卡须遵守本章程。</w:t>
      </w:r>
    </w:p>
    <w:p>
      <w:pPr>
        <w:spacing w:line="560" w:lineRule="exact"/>
        <w:jc w:val="center"/>
        <w:rPr>
          <w:rFonts w:ascii="仿宋" w:hAnsi="仿宋" w:eastAsia="仿宋" w:cs="方正仿宋简体"/>
          <w:b/>
          <w:color w:val="000000"/>
          <w:sz w:val="32"/>
          <w:szCs w:val="32"/>
        </w:rPr>
      </w:pPr>
      <w:r>
        <w:rPr>
          <w:rFonts w:hint="eastAsia" w:ascii="仿宋" w:hAnsi="仿宋" w:eastAsia="仿宋" w:cs="黑体"/>
          <w:b/>
          <w:bCs/>
          <w:color w:val="000000"/>
          <w:sz w:val="32"/>
          <w:szCs w:val="32"/>
        </w:rPr>
        <w:t>第二章  信通卡申请</w:t>
      </w:r>
    </w:p>
    <w:p>
      <w:pPr>
        <w:autoSpaceDE w:val="0"/>
        <w:spacing w:line="560" w:lineRule="exact"/>
        <w:ind w:firstLine="643" w:firstLineChars="200"/>
        <w:rPr>
          <w:rFonts w:ascii="仿宋" w:hAnsi="仿宋" w:eastAsia="仿宋" w:cs="方正仿宋简体"/>
          <w:color w:val="000000"/>
          <w:sz w:val="32"/>
          <w:szCs w:val="32"/>
        </w:rPr>
      </w:pPr>
      <w:r>
        <w:rPr>
          <w:rFonts w:hint="eastAsia" w:ascii="仿宋" w:hAnsi="仿宋" w:eastAsia="仿宋" w:cs="仿宋"/>
          <w:b/>
          <w:color w:val="000000"/>
          <w:sz w:val="32"/>
          <w:szCs w:val="32"/>
        </w:rPr>
        <w:t>第八条</w:t>
      </w:r>
      <w:r>
        <w:rPr>
          <w:rFonts w:hint="eastAsia" w:ascii="仿宋" w:hAnsi="仿宋" w:eastAsia="仿宋" w:cs="仿宋"/>
          <w:color w:val="000000"/>
          <w:sz w:val="32"/>
          <w:szCs w:val="32"/>
        </w:rPr>
        <w:t xml:space="preserve"> 信通卡的申请</w:t>
      </w:r>
    </w:p>
    <w:p>
      <w:pPr>
        <w:autoSpaceDE w:val="0"/>
        <w:spacing w:line="560" w:lineRule="exact"/>
        <w:ind w:firstLine="640" w:firstLineChars="200"/>
        <w:rPr>
          <w:rFonts w:ascii="仿宋" w:hAnsi="仿宋" w:eastAsia="仿宋" w:cs="方正仿宋简体"/>
          <w:color w:val="000000"/>
          <w:sz w:val="32"/>
          <w:szCs w:val="32"/>
        </w:rPr>
      </w:pPr>
      <w:r>
        <w:rPr>
          <w:rFonts w:hint="eastAsia" w:ascii="仿宋" w:hAnsi="仿宋" w:eastAsia="仿宋" w:cs="仿宋"/>
          <w:color w:val="000000"/>
          <w:sz w:val="32"/>
          <w:szCs w:val="32"/>
        </w:rPr>
        <w:t>具有完全民事行为能力的个人，凭本人有效身份证件可在我行申请开立信通卡；未具备完全民事行为能力的个人，由监护人代理开立信通卡。每位客户可申请多张信通卡。</w:t>
      </w:r>
    </w:p>
    <w:p>
      <w:pPr>
        <w:autoSpaceDE w:val="0"/>
        <w:spacing w:line="560" w:lineRule="exact"/>
        <w:ind w:firstLine="640" w:firstLineChars="200"/>
        <w:rPr>
          <w:rFonts w:ascii="仿宋" w:hAnsi="仿宋" w:eastAsia="仿宋" w:cs="方正仿宋简体"/>
          <w:color w:val="000000"/>
          <w:sz w:val="32"/>
          <w:szCs w:val="32"/>
        </w:rPr>
      </w:pPr>
      <w:r>
        <w:rPr>
          <w:rFonts w:hint="eastAsia" w:ascii="仿宋" w:hAnsi="仿宋" w:eastAsia="仿宋" w:cs="仿宋"/>
          <w:color w:val="000000"/>
          <w:sz w:val="32"/>
          <w:szCs w:val="32"/>
        </w:rPr>
        <w:t>信通卡需设置六位数字的取款密码，不同信通卡可分设不同取款密码。</w:t>
      </w:r>
    </w:p>
    <w:p>
      <w:pPr>
        <w:spacing w:line="560" w:lineRule="exact"/>
        <w:jc w:val="center"/>
        <w:rPr>
          <w:rFonts w:ascii="仿宋" w:hAnsi="仿宋" w:eastAsia="仿宋" w:cs="方正仿宋简体"/>
          <w:b/>
          <w:bCs/>
          <w:color w:val="000000"/>
          <w:sz w:val="32"/>
          <w:szCs w:val="32"/>
        </w:rPr>
      </w:pPr>
      <w:r>
        <w:rPr>
          <w:rFonts w:hint="eastAsia" w:ascii="仿宋" w:hAnsi="仿宋" w:eastAsia="仿宋" w:cs="黑体"/>
          <w:b/>
          <w:bCs/>
          <w:color w:val="000000"/>
          <w:sz w:val="32"/>
          <w:szCs w:val="32"/>
        </w:rPr>
        <w:t>第三章  信通卡业务规则</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第九条</w:t>
      </w:r>
      <w:r>
        <w:rPr>
          <w:rFonts w:hint="eastAsia" w:ascii="仿宋" w:hAnsi="仿宋" w:eastAsia="仿宋" w:cs="仿宋"/>
          <w:color w:val="000000"/>
          <w:sz w:val="32"/>
          <w:szCs w:val="32"/>
        </w:rPr>
        <w:t xml:space="preserve"> 信通卡账户结构</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同一客户号下可开立多张信通卡，一张信通卡可以关联不同币种、不同账户类型的多个子账户，一个子账户可以同时关联多张信通卡。信通卡关联的子账户不得超过监管机构规定的数量。</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信通卡与子账户和一本通账户与子账户之间既可以共享，也可以完全独立。</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信通卡按币种和账户类型各有一个主子账户，卡下账户序号为0001的人民币活期子账户是办理交易时的默认账户。</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信通卡功能相同，客户可以通过设定交易权限或通过电子渠道的签约来设定不同卡的交易权限、交易限额。</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IC卡含有电子现金应用。电子现金为不记名、不验密、不挂失、不计息的借记性质账户，仅支持圈存、小额消费、查询等功能。电子现金仅支持人民币结算，余额上限为1000元（含）人民币，余额的判断应以电子现金芯片余额为准。</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信通卡储蓄存款合同关系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信通卡持卡人的储蓄存款合同关系由信通卡下关联的子账户开户行决定，子账户开户行即为储蓄存款合同关系行。</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第十一条</w:t>
      </w:r>
      <w:r>
        <w:rPr>
          <w:rFonts w:hint="eastAsia" w:ascii="仿宋" w:hAnsi="仿宋" w:eastAsia="仿宋" w:cs="仿宋"/>
          <w:color w:val="000000"/>
          <w:sz w:val="32"/>
          <w:szCs w:val="32"/>
        </w:rPr>
        <w:t xml:space="preserve"> 信通卡交易控制</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持卡人可通过申请，对信通卡的交易功能、渠道、交易限额进行控制。</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第十二条</w:t>
      </w:r>
      <w:r>
        <w:rPr>
          <w:rFonts w:hint="eastAsia" w:ascii="仿宋" w:hAnsi="仿宋" w:eastAsia="仿宋" w:cs="仿宋"/>
          <w:color w:val="000000"/>
          <w:sz w:val="32"/>
          <w:szCs w:val="32"/>
        </w:rPr>
        <w:t xml:space="preserve"> 信通卡交易方式</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信通卡所有交易可按相关规定通过我行及与我行联网机构的柜台和电子渠道办理。</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第十三条</w:t>
      </w:r>
      <w:r>
        <w:rPr>
          <w:rFonts w:hint="eastAsia" w:ascii="仿宋" w:hAnsi="仿宋" w:eastAsia="仿宋" w:cs="仿宋"/>
          <w:color w:val="000000"/>
          <w:sz w:val="32"/>
          <w:szCs w:val="32"/>
        </w:rPr>
        <w:t xml:space="preserve"> 利息计付</w:t>
      </w:r>
    </w:p>
    <w:p>
      <w:pPr>
        <w:spacing w:line="560" w:lineRule="exact"/>
        <w:ind w:firstLine="640" w:firstLineChars="200"/>
        <w:rPr>
          <w:rFonts w:ascii="仿宋" w:hAnsi="仿宋" w:eastAsia="仿宋" w:cs="仿宋"/>
          <w:color w:val="000000"/>
          <w:sz w:val="32"/>
          <w:szCs w:val="32"/>
          <w:highlight w:val="lightGray"/>
        </w:rPr>
      </w:pPr>
      <w:r>
        <w:rPr>
          <w:rFonts w:hint="eastAsia" w:ascii="仿宋" w:hAnsi="仿宋" w:eastAsia="仿宋" w:cs="仿宋"/>
          <w:color w:val="000000"/>
          <w:sz w:val="32"/>
          <w:szCs w:val="32"/>
        </w:rPr>
        <w:t>信通卡关联子账户内的存款，按照我行挂牌公告及存款产品说明书规定的存款利率及计息办法计付利息。信通IC卡电子现金以及健康160</w:t>
      </w:r>
      <w:r>
        <w:rPr>
          <w:rFonts w:hint="eastAsia" w:ascii="仿宋" w:hAnsi="仿宋" w:eastAsia="仿宋" w:cs="仿宋"/>
          <w:sz w:val="32"/>
          <w:szCs w:val="32"/>
        </w:rPr>
        <w:t>Ⅲ</w:t>
      </w:r>
      <w:r>
        <w:rPr>
          <w:rFonts w:hint="eastAsia" w:ascii="仿宋" w:hAnsi="仿宋" w:eastAsia="仿宋" w:cs="仿宋"/>
          <w:color w:val="000000"/>
          <w:sz w:val="32"/>
          <w:szCs w:val="32"/>
        </w:rPr>
        <w:t>类账户不计付利息。</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第十四条</w:t>
      </w:r>
      <w:r>
        <w:rPr>
          <w:rFonts w:hint="eastAsia" w:ascii="仿宋" w:hAnsi="仿宋" w:eastAsia="仿宋" w:cs="仿宋"/>
          <w:color w:val="000000"/>
          <w:sz w:val="32"/>
          <w:szCs w:val="32"/>
        </w:rPr>
        <w:t xml:space="preserve"> 电子信息记录</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信通卡依据密码等电子信息办理交易以及电子现金消费所产生的电子信息记录，均为该项交易的有效凭据；信通卡通过各类联网终端交易的电子信息记录，我行至少保留两年。</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第十五条</w:t>
      </w:r>
      <w:r>
        <w:rPr>
          <w:rFonts w:hint="eastAsia" w:ascii="仿宋" w:hAnsi="仿宋" w:eastAsia="仿宋" w:cs="仿宋"/>
          <w:color w:val="000000"/>
          <w:sz w:val="32"/>
          <w:szCs w:val="32"/>
        </w:rPr>
        <w:t xml:space="preserve"> 信通卡功能</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信通卡提供查询、存款、取款、转账、消费、综合理财、圈存、代理类、贷款出账、电子商务的全部功能以及我行陆续开通的其他功能。持卡人使用以上功能须遵守各功能的相关规定。</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我行陆续推出的各项增值服务无需另行通知持卡人，由持卡人自行选择是否使用。</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第十六条</w:t>
      </w:r>
      <w:r>
        <w:rPr>
          <w:rFonts w:hint="eastAsia" w:ascii="仿宋" w:hAnsi="仿宋" w:eastAsia="仿宋" w:cs="仿宋"/>
          <w:color w:val="000000"/>
          <w:sz w:val="32"/>
          <w:szCs w:val="32"/>
        </w:rPr>
        <w:t xml:space="preserve"> 电子现金圈存功能</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信通IC卡电子现金的圈存功能包括指定账户圈存、非指定账户圈存、现金圈存、预约圈存和临时账户圈存。</w:t>
      </w:r>
    </w:p>
    <w:p>
      <w:pPr>
        <w:spacing w:line="560" w:lineRule="exact"/>
        <w:ind w:firstLine="643" w:firstLineChars="200"/>
        <w:rPr>
          <w:rFonts w:ascii="仿宋" w:hAnsi="仿宋" w:eastAsia="仿宋" w:cs="仿宋"/>
          <w:sz w:val="32"/>
          <w:szCs w:val="32"/>
        </w:rPr>
      </w:pPr>
      <w:r>
        <w:rPr>
          <w:rFonts w:hint="eastAsia" w:ascii="仿宋" w:hAnsi="仿宋" w:eastAsia="仿宋" w:cs="仿宋"/>
          <w:b/>
          <w:color w:val="000000"/>
          <w:sz w:val="32"/>
          <w:szCs w:val="32"/>
        </w:rPr>
        <w:t xml:space="preserve">第十七条 </w:t>
      </w:r>
      <w:r>
        <w:rPr>
          <w:rFonts w:hint="eastAsia" w:ascii="仿宋" w:hAnsi="仿宋" w:eastAsia="仿宋" w:cs="仿宋"/>
          <w:sz w:val="32"/>
          <w:szCs w:val="32"/>
        </w:rPr>
        <w:t>电子现金查询功能</w:t>
      </w:r>
    </w:p>
    <w:p>
      <w:pPr>
        <w:autoSpaceDE w:val="0"/>
        <w:autoSpaceDN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信通IC卡电子现金具有查询功能，包括余额查询和明细查询等。</w:t>
      </w:r>
    </w:p>
    <w:p>
      <w:pPr>
        <w:autoSpaceDE w:val="0"/>
        <w:autoSpaceDN w:val="0"/>
        <w:spacing w:line="560" w:lineRule="exact"/>
        <w:ind w:firstLine="643" w:firstLineChars="200"/>
        <w:rPr>
          <w:rFonts w:ascii="仿宋" w:hAnsi="仿宋" w:eastAsia="仿宋" w:cs="仿宋"/>
          <w:color w:val="FF0000"/>
          <w:sz w:val="32"/>
          <w:szCs w:val="32"/>
        </w:rPr>
      </w:pPr>
      <w:r>
        <w:rPr>
          <w:rFonts w:hint="eastAsia" w:ascii="仿宋" w:hAnsi="仿宋" w:eastAsia="仿宋" w:cs="仿宋"/>
          <w:b/>
          <w:sz w:val="32"/>
          <w:szCs w:val="32"/>
        </w:rPr>
        <w:t xml:space="preserve">第十八条 </w:t>
      </w:r>
      <w:r>
        <w:rPr>
          <w:rFonts w:hint="eastAsia" w:ascii="仿宋" w:hAnsi="仿宋" w:eastAsia="仿宋" w:cs="仿宋"/>
          <w:sz w:val="32"/>
          <w:szCs w:val="32"/>
        </w:rPr>
        <w:t>电子现金消费功能</w:t>
      </w:r>
    </w:p>
    <w:p>
      <w:pPr>
        <w:autoSpaceDE w:val="0"/>
        <w:autoSpaceDN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电子现金内的资金只可用于小额脱机消费，在消费时不校验密码、不核对持卡人签名，凡使用电子现金均视持卡人本人所为，持卡人应承担因芯片保管不善（包括但不限于丢失或被盗等）造成的风险损失。</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sz w:val="32"/>
          <w:szCs w:val="32"/>
        </w:rPr>
        <w:t xml:space="preserve">第十九条 </w:t>
      </w:r>
      <w:r>
        <w:rPr>
          <w:rFonts w:hint="eastAsia" w:ascii="仿宋" w:hAnsi="仿宋" w:eastAsia="仿宋" w:cs="仿宋"/>
          <w:color w:val="000000"/>
          <w:sz w:val="32"/>
          <w:szCs w:val="32"/>
        </w:rPr>
        <w:t>小额免密免签快速支付功能</w:t>
      </w:r>
    </w:p>
    <w:p>
      <w:pPr>
        <w:autoSpaceDE w:val="0"/>
        <w:autoSpaceDN w:val="0"/>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持卡人开卡时可选择开通或关闭小额免密免签快速支付功能。小额免密免签实施限额管理，持卡人可修改交易限额或关闭该服务。</w:t>
      </w:r>
    </w:p>
    <w:p>
      <w:pPr>
        <w:spacing w:line="560" w:lineRule="exact"/>
        <w:jc w:val="center"/>
        <w:rPr>
          <w:rFonts w:ascii="仿宋" w:hAnsi="仿宋" w:eastAsia="仿宋" w:cs="黑体"/>
          <w:b/>
          <w:bCs/>
          <w:color w:val="000000"/>
          <w:sz w:val="32"/>
          <w:szCs w:val="32"/>
        </w:rPr>
      </w:pPr>
      <w:r>
        <w:rPr>
          <w:rFonts w:hint="eastAsia" w:ascii="仿宋" w:hAnsi="仿宋" w:eastAsia="仿宋" w:cs="黑体"/>
          <w:b/>
          <w:bCs/>
          <w:color w:val="000000"/>
          <w:sz w:val="32"/>
          <w:szCs w:val="32"/>
        </w:rPr>
        <w:t>第四章  信通卡当事人权利义务</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第二十条</w:t>
      </w:r>
      <w:r>
        <w:rPr>
          <w:rFonts w:hint="eastAsia" w:ascii="仿宋" w:hAnsi="仿宋" w:eastAsia="仿宋" w:cs="仿宋"/>
          <w:color w:val="000000"/>
          <w:sz w:val="32"/>
          <w:szCs w:val="32"/>
        </w:rPr>
        <w:t xml:space="preserve"> 持卡人权利</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（一）申请人、持卡人有权知悉信通卡的功能、使用方法、收费项目、收费标准、适用利率及有关的计算公式。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（二）持卡人有享受我行针对信通卡推出的各项服务的权利，有权监督服务质量并就服务质量问题进行投诉。</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（三）持卡人有权在规定时间内向我行申请打印对账单，并有权要求对账务内容进行查询。</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（四）持卡人在信通卡挂失正式生效后不再承担相应账户资金变动的责任（电子现金账户除外），法律法规另有规定的除外。</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第二十一条</w:t>
      </w:r>
      <w:r>
        <w:rPr>
          <w:rFonts w:hint="eastAsia" w:ascii="仿宋" w:hAnsi="仿宋" w:eastAsia="仿宋" w:cs="仿宋"/>
          <w:color w:val="000000"/>
          <w:sz w:val="32"/>
          <w:szCs w:val="32"/>
        </w:rPr>
        <w:t xml:space="preserve"> 持卡人义务</w:t>
      </w:r>
    </w:p>
    <w:p>
      <w:pPr>
        <w:numPr>
          <w:ilvl w:val="0"/>
          <w:numId w:val="1"/>
        </w:num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持卡人应当向我行提供真实、合法、有效、完整的申请资料和信息，并配合我行开展客户尽职调查，原申请信息（有效身份证件、通讯地址、联系方式、职业等个人信息）变更后应及时书面通知我行修改。持卡人未及时变更个人信息导致的责任和风险，由持卡人承担。</w:t>
      </w:r>
    </w:p>
    <w:p>
      <w:pPr>
        <w:numPr>
          <w:ilvl w:val="0"/>
          <w:numId w:val="1"/>
        </w:num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持卡人必须遵守国家法律法规及监管部门制定的有关政策、规定，遵守我行信通卡章程。</w:t>
      </w:r>
    </w:p>
    <w:p>
      <w:pPr>
        <w:numPr>
          <w:ilvl w:val="0"/>
          <w:numId w:val="1"/>
        </w:numPr>
        <w:spacing w:line="560" w:lineRule="exact"/>
        <w:ind w:firstLine="640" w:firstLineChars="200"/>
        <w:rPr>
          <w:rFonts w:ascii="仿宋" w:hAnsi="仿宋" w:eastAsia="仿宋" w:cs="仿宋"/>
          <w:color w:val="000000"/>
          <w:sz w:val="32"/>
          <w:szCs w:val="32"/>
        </w:rPr>
      </w:pPr>
      <w:r>
        <w:rPr>
          <w:rFonts w:hint="eastAsia" w:ascii="仿宋" w:hAnsi="仿宋" w:eastAsia="仿宋" w:cs="仿宋"/>
          <w:sz w:val="32"/>
          <w:szCs w:val="32"/>
        </w:rPr>
        <w:t>信通卡仅限持卡人本人使用，不得出租、出借和出售，严禁使用银行卡进行非法平台收款、电信网络诈骗、赌博、毒品买卖以及转移不法资金等违法违规活动。</w:t>
      </w:r>
    </w:p>
    <w:p>
      <w:pPr>
        <w:autoSpaceDE w:val="0"/>
        <w:autoSpaceDN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（四）</w:t>
      </w:r>
      <w:r>
        <w:rPr>
          <w:rFonts w:hint="eastAsia" w:ascii="仿宋" w:hAnsi="仿宋" w:eastAsia="仿宋" w:cs="仿宋"/>
          <w:sz w:val="32"/>
          <w:szCs w:val="32"/>
        </w:rPr>
        <w:t>持卡人须妥善保管信通卡和密码，因卡片保管不善或密码泄露、管理或使用不当所造成的全部损失由持卡人承担。卡片遗失、被盗时，持卡人应及时办理挂失手续，挂失生效前的信通卡资金损失由持卡人承担。电子现金不予挂失，其损失也由持卡人承担。</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（五）持卡人不得以发生纠纷为由拒绝支付应付我行款项。</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（六）</w:t>
      </w:r>
      <w:r>
        <w:rPr>
          <w:rFonts w:hint="eastAsia" w:ascii="仿宋" w:hAnsi="仿宋" w:eastAsia="仿宋" w:cs="仿宋"/>
          <w:color w:val="000000"/>
          <w:sz w:val="32"/>
          <w:szCs w:val="32"/>
        </w:rPr>
        <w:t>持卡人不得以任何方式利用信通卡进行违法违规活动，否则由此造成的法律后果由持卡人承担。</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第二十二条</w:t>
      </w:r>
      <w:r>
        <w:rPr>
          <w:rFonts w:hint="eastAsia" w:ascii="仿宋" w:hAnsi="仿宋" w:eastAsia="仿宋" w:cs="仿宋"/>
          <w:color w:val="000000"/>
          <w:sz w:val="32"/>
          <w:szCs w:val="32"/>
        </w:rPr>
        <w:t xml:space="preserve"> 我行义务</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（一）向持卡人提供对账单及账务明细查询服务。</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 xml:space="preserve">（二）向持卡人提供信通卡挂失服务，设立24小时挂失服务电话，提供柜台、手机银行、网上银行、智能柜台及我行陆续开通的其他渠道的挂失服务。 </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（三）设立针对信通卡服务的有效投诉制度，公开投诉程序和投诉电话。对持卡人关于账务情况的查询和改正要求在30天内给予答复。</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（四）向持卡人公布收费标准。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（五）向持卡人提供信通卡业务说明资料，包括：卡章程、个人银行结算账户管理协议及其它相关规定。</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（六）对持卡人的资信资料保密，国家法律、法规另有规定的除外。</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第二十三条</w:t>
      </w:r>
      <w:r>
        <w:rPr>
          <w:rFonts w:hint="eastAsia" w:ascii="仿宋" w:hAnsi="仿宋" w:eastAsia="仿宋" w:cs="仿宋"/>
          <w:color w:val="000000"/>
          <w:sz w:val="32"/>
          <w:szCs w:val="32"/>
        </w:rPr>
        <w:t xml:space="preserve"> 我行权利</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（一）有权审查申请人的开户申请资料，并有权决定是否向申请人发卡。</w:t>
      </w:r>
    </w:p>
    <w:p>
      <w:pPr>
        <w:autoSpaceDE w:val="0"/>
        <w:autoSpaceDN w:val="0"/>
        <w:spacing w:line="560" w:lineRule="exact"/>
        <w:ind w:firstLine="640" w:firstLineChars="200"/>
        <w:rPr>
          <w:rFonts w:ascii="仿宋" w:hAnsi="仿宋" w:eastAsia="仿宋" w:cs="仿宋"/>
          <w:sz w:val="32"/>
          <w:szCs w:val="32"/>
        </w:rPr>
      </w:pPr>
      <w:r>
        <w:rPr>
          <w:rFonts w:hint="eastAsia" w:ascii="仿宋" w:hAnsi="仿宋" w:eastAsia="仿宋" w:cs="仿宋"/>
          <w:color w:val="000000"/>
          <w:sz w:val="32"/>
          <w:szCs w:val="32"/>
        </w:rPr>
        <w:t>（二）对不遵守国家相关法律法规、本章程、个人银行结算账户管理协议及开户须知规定的持卡人，有权无须预先通知持卡人即取消其持卡资格，并收回其信通卡。对持卡人违背本章程给我行造成损失的，我行有权申请法律保护并依法追究持卡人或有关当事人的法律责任。</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（三）我行有权根据《商业银行服务价格管理办法》的有关规定制定或调整信通卡收费项目、收费标准及收费方式等收费内容。</w:t>
      </w:r>
    </w:p>
    <w:p>
      <w:pPr>
        <w:spacing w:line="560" w:lineRule="exact"/>
        <w:ind w:firstLine="640" w:firstLineChars="200"/>
        <w:rPr>
          <w:rFonts w:ascii="仿宋" w:hAnsi="仿宋" w:eastAsia="仿宋" w:cs="方正仿宋简体"/>
          <w:b/>
          <w:sz w:val="32"/>
          <w:szCs w:val="32"/>
        </w:rPr>
      </w:pPr>
      <w:r>
        <w:rPr>
          <w:rFonts w:hint="eastAsia" w:ascii="仿宋" w:hAnsi="仿宋" w:eastAsia="仿宋" w:cs="仿宋"/>
          <w:sz w:val="32"/>
          <w:szCs w:val="32"/>
        </w:rPr>
        <w:t>（四）我行有权对长时间不活动且AUM余额为零的信通卡予以销户；有权在公示后，对长时间不活动且余额较小的账户暂停部份渠道的使用权限。持卡人在我行办理金融社保IC卡开卡、补换卡业务后，超过广东省人力资源和社会保障厅规定时间未领取卡片，我行有权对该金融社保IC卡予以销户。</w:t>
      </w:r>
    </w:p>
    <w:p>
      <w:pPr>
        <w:spacing w:line="560" w:lineRule="exact"/>
        <w:jc w:val="center"/>
        <w:rPr>
          <w:rFonts w:ascii="仿宋" w:hAnsi="仿宋" w:eastAsia="仿宋" w:cs="黑体"/>
          <w:b/>
          <w:bCs/>
          <w:sz w:val="32"/>
          <w:szCs w:val="32"/>
        </w:rPr>
      </w:pPr>
      <w:r>
        <w:rPr>
          <w:rFonts w:hint="eastAsia" w:ascii="仿宋" w:hAnsi="仿宋" w:eastAsia="仿宋" w:cs="黑体"/>
          <w:b/>
          <w:bCs/>
          <w:sz w:val="32"/>
          <w:szCs w:val="32"/>
        </w:rPr>
        <w:t>第五章 信通卡管理</w:t>
      </w:r>
    </w:p>
    <w:p>
      <w:pPr>
        <w:spacing w:line="560" w:lineRule="exact"/>
        <w:ind w:firstLine="643" w:firstLineChars="200"/>
        <w:rPr>
          <w:rFonts w:ascii="仿宋" w:hAnsi="仿宋" w:eastAsia="仿宋" w:cs="方正仿宋简体"/>
          <w:sz w:val="32"/>
          <w:szCs w:val="32"/>
        </w:rPr>
      </w:pPr>
      <w:r>
        <w:rPr>
          <w:rFonts w:hint="eastAsia" w:ascii="仿宋" w:hAnsi="仿宋" w:eastAsia="仿宋" w:cs="仿宋"/>
          <w:b/>
          <w:sz w:val="32"/>
          <w:szCs w:val="32"/>
        </w:rPr>
        <w:t>第二十四条</w:t>
      </w:r>
      <w:r>
        <w:rPr>
          <w:rFonts w:hint="eastAsia" w:ascii="仿宋" w:hAnsi="仿宋" w:eastAsia="仿宋" w:cs="仿宋"/>
          <w:sz w:val="32"/>
          <w:szCs w:val="32"/>
        </w:rPr>
        <w:t xml:space="preserve"> 我行有权向持卡人收取信通卡工本费。信通卡的开立、补发、换卡等具体收费标准按《深圳农商银行服务收费价目名录》执行。</w:t>
      </w:r>
    </w:p>
    <w:p>
      <w:pPr>
        <w:spacing w:line="560" w:lineRule="exact"/>
        <w:ind w:firstLine="643" w:firstLineChars="200"/>
        <w:rPr>
          <w:rFonts w:ascii="仿宋" w:hAnsi="仿宋" w:eastAsia="仿宋" w:cs="方正仿宋简体"/>
          <w:sz w:val="32"/>
          <w:szCs w:val="32"/>
        </w:rPr>
      </w:pPr>
      <w:r>
        <w:rPr>
          <w:rFonts w:hint="eastAsia" w:ascii="仿宋" w:hAnsi="仿宋" w:eastAsia="仿宋" w:cs="仿宋"/>
          <w:b/>
          <w:sz w:val="32"/>
          <w:szCs w:val="32"/>
        </w:rPr>
        <w:t>第二十五条</w:t>
      </w:r>
      <w:r>
        <w:rPr>
          <w:rFonts w:hint="eastAsia" w:ascii="仿宋" w:hAnsi="仿宋" w:eastAsia="仿宋" w:cs="仿宋"/>
          <w:sz w:val="32"/>
          <w:szCs w:val="32"/>
        </w:rPr>
        <w:t xml:space="preserve"> 信通卡密码的修改与重置</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（一）信通卡查询密码可通过我行柜台、电话银行修改或重置。</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（二）信通卡取款密码可在我行柜台修改或重置，也可通过我行ATM等电子渠道进行修改。</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（三）对密码的修改及重置，我行另有规定的，按规定办理。</w:t>
      </w:r>
    </w:p>
    <w:p>
      <w:pPr>
        <w:spacing w:line="560" w:lineRule="exact"/>
        <w:ind w:firstLine="643" w:firstLineChars="200"/>
        <w:rPr>
          <w:rFonts w:ascii="仿宋" w:hAnsi="仿宋" w:eastAsia="仿宋" w:cs="方正仿宋简体"/>
          <w:sz w:val="32"/>
          <w:szCs w:val="32"/>
        </w:rPr>
      </w:pPr>
      <w:r>
        <w:rPr>
          <w:rFonts w:hint="eastAsia" w:ascii="仿宋" w:hAnsi="仿宋" w:eastAsia="仿宋" w:cs="仿宋"/>
          <w:b/>
          <w:sz w:val="32"/>
          <w:szCs w:val="32"/>
        </w:rPr>
        <w:t>第二十六条</w:t>
      </w:r>
      <w:r>
        <w:rPr>
          <w:rFonts w:hint="eastAsia" w:ascii="仿宋" w:hAnsi="仿宋" w:eastAsia="仿宋" w:cs="仿宋"/>
          <w:sz w:val="32"/>
          <w:szCs w:val="32"/>
        </w:rPr>
        <w:t xml:space="preserve"> 信通卡挂失</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持卡人遗失信通卡，可按相关规定办理临时挂失、正式挂失及申领新卡手续。信通卡挂失手续办妥前发生的一切经济损失由持卡人承担。信通IC卡的电子现金不记名、不挂失。</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信通卡挂失，不影响对应账户其他正常凭证具有的一切功能。</w:t>
      </w:r>
    </w:p>
    <w:p>
      <w:pPr>
        <w:spacing w:line="560" w:lineRule="exact"/>
        <w:ind w:firstLine="643" w:firstLineChars="200"/>
        <w:rPr>
          <w:rFonts w:ascii="仿宋" w:hAnsi="仿宋" w:eastAsia="仿宋" w:cs="方正仿宋简体"/>
          <w:sz w:val="32"/>
          <w:szCs w:val="32"/>
        </w:rPr>
      </w:pPr>
      <w:r>
        <w:rPr>
          <w:rFonts w:hint="eastAsia" w:ascii="仿宋" w:hAnsi="仿宋" w:eastAsia="仿宋" w:cs="仿宋"/>
          <w:b/>
          <w:sz w:val="32"/>
          <w:szCs w:val="32"/>
        </w:rPr>
        <w:t xml:space="preserve">第二十七条 </w:t>
      </w:r>
      <w:r>
        <w:rPr>
          <w:rFonts w:hint="eastAsia" w:ascii="仿宋" w:hAnsi="仿宋" w:eastAsia="仿宋" w:cs="仿宋"/>
          <w:sz w:val="32"/>
          <w:szCs w:val="32"/>
        </w:rPr>
        <w:t>信通卡换卡</w:t>
      </w:r>
    </w:p>
    <w:p>
      <w:pPr>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信通卡损坏或到期，持卡人可凭信通卡及取款密码到我行办理换卡手续。换卡后，原卡关联的账户会自动关联到新卡。</w:t>
      </w:r>
    </w:p>
    <w:p>
      <w:pPr>
        <w:spacing w:line="560" w:lineRule="exact"/>
        <w:ind w:firstLine="643" w:firstLineChars="200"/>
        <w:rPr>
          <w:rFonts w:ascii="仿宋" w:hAnsi="仿宋" w:eastAsia="仿宋" w:cs="方正仿宋简体"/>
          <w:color w:val="000000"/>
          <w:sz w:val="32"/>
          <w:szCs w:val="32"/>
        </w:rPr>
      </w:pPr>
      <w:r>
        <w:rPr>
          <w:rFonts w:hint="eastAsia" w:ascii="仿宋" w:hAnsi="仿宋" w:eastAsia="仿宋" w:cs="仿宋"/>
          <w:b/>
          <w:color w:val="000000"/>
          <w:sz w:val="32"/>
          <w:szCs w:val="32"/>
        </w:rPr>
        <w:t xml:space="preserve">第二十八条 </w:t>
      </w:r>
      <w:r>
        <w:rPr>
          <w:rFonts w:hint="eastAsia" w:ascii="仿宋" w:hAnsi="仿宋" w:eastAsia="仿宋" w:cs="仿宋"/>
          <w:color w:val="000000"/>
          <w:sz w:val="32"/>
          <w:szCs w:val="32"/>
        </w:rPr>
        <w:t>办理信通卡挂失、损坏、到期换卡，应缴纳手续费及工本费。</w:t>
      </w:r>
    </w:p>
    <w:p>
      <w:pPr>
        <w:spacing w:line="560" w:lineRule="exact"/>
        <w:ind w:firstLine="643" w:firstLineChars="200"/>
        <w:rPr>
          <w:rFonts w:ascii="仿宋" w:hAnsi="仿宋" w:eastAsia="仿宋" w:cs="方正仿宋简体"/>
          <w:color w:val="000000"/>
          <w:sz w:val="32"/>
          <w:szCs w:val="32"/>
        </w:rPr>
      </w:pPr>
      <w:r>
        <w:rPr>
          <w:rFonts w:hint="eastAsia" w:ascii="仿宋" w:hAnsi="仿宋" w:eastAsia="仿宋" w:cs="仿宋"/>
          <w:b/>
          <w:color w:val="000000"/>
          <w:sz w:val="32"/>
          <w:szCs w:val="32"/>
        </w:rPr>
        <w:t>第二十九条</w:t>
      </w:r>
      <w:r>
        <w:rPr>
          <w:rFonts w:hint="eastAsia" w:ascii="仿宋" w:hAnsi="仿宋" w:eastAsia="仿宋" w:cs="仿宋"/>
          <w:color w:val="000000"/>
          <w:sz w:val="32"/>
          <w:szCs w:val="32"/>
        </w:rPr>
        <w:t xml:space="preserve"> 信通卡销户</w:t>
      </w:r>
    </w:p>
    <w:p>
      <w:pPr>
        <w:spacing w:line="560" w:lineRule="exact"/>
        <w:ind w:firstLine="640" w:firstLineChars="200"/>
        <w:rPr>
          <w:rFonts w:ascii="仿宋" w:hAnsi="仿宋" w:eastAsia="仿宋" w:cs="方正仿宋简体"/>
          <w:color w:val="000000"/>
          <w:sz w:val="32"/>
          <w:szCs w:val="32"/>
        </w:rPr>
      </w:pPr>
      <w:r>
        <w:rPr>
          <w:rFonts w:hint="eastAsia" w:ascii="仿宋" w:hAnsi="仿宋" w:eastAsia="仿宋" w:cs="仿宋"/>
          <w:color w:val="000000"/>
          <w:sz w:val="32"/>
          <w:szCs w:val="32"/>
        </w:rPr>
        <w:t>（一）信通磁条卡销户按相关规定办理。</w:t>
      </w:r>
    </w:p>
    <w:p>
      <w:pPr>
        <w:autoSpaceDE w:val="0"/>
        <w:autoSpaceDN w:val="0"/>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（二）信通IC卡销户先办理电子现金销户，再办理借记账户销户。</w:t>
      </w:r>
    </w:p>
    <w:p>
      <w:pPr>
        <w:autoSpaceDE w:val="0"/>
        <w:autoSpaceDN w:val="0"/>
        <w:spacing w:line="560" w:lineRule="exact"/>
        <w:ind w:firstLine="640" w:firstLineChars="200"/>
        <w:rPr>
          <w:rFonts w:ascii="仿宋" w:hAnsi="仿宋" w:eastAsia="仿宋" w:cs="方正仿宋简体"/>
          <w:sz w:val="32"/>
          <w:szCs w:val="32"/>
        </w:rPr>
      </w:pPr>
      <w:r>
        <w:rPr>
          <w:rFonts w:hint="eastAsia" w:ascii="仿宋" w:hAnsi="仿宋" w:eastAsia="仿宋" w:cs="仿宋"/>
          <w:sz w:val="32"/>
          <w:szCs w:val="32"/>
        </w:rPr>
        <w:t>（三）销户后原卡片必须收回。</w:t>
      </w:r>
    </w:p>
    <w:p>
      <w:pPr>
        <w:widowControl/>
        <w:spacing w:line="560" w:lineRule="exact"/>
        <w:jc w:val="center"/>
        <w:rPr>
          <w:rFonts w:ascii="黑体" w:hAnsi="宋体" w:eastAsia="黑体" w:cs="黑体"/>
          <w:bCs/>
          <w:color w:val="000000"/>
          <w:sz w:val="32"/>
          <w:szCs w:val="32"/>
        </w:rPr>
      </w:pPr>
      <w:r>
        <w:rPr>
          <w:rFonts w:hint="eastAsia" w:ascii="黑体" w:hAnsi="宋体" w:eastAsia="黑体" w:cs="黑体"/>
          <w:bCs/>
          <w:color w:val="000000"/>
          <w:sz w:val="32"/>
          <w:szCs w:val="32"/>
        </w:rPr>
        <w:t>第六章  信通卡风险控制</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第三十条</w:t>
      </w:r>
      <w:r>
        <w:rPr>
          <w:rFonts w:hint="eastAsia" w:ascii="仿宋" w:hAnsi="仿宋" w:eastAsia="仿宋" w:cs="仿宋"/>
          <w:color w:val="000000"/>
          <w:sz w:val="32"/>
          <w:szCs w:val="32"/>
        </w:rPr>
        <w:t xml:space="preserve"> 密码管理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（一）客户在申请信通卡时，可分别申请查询密码和取款密码。查询密码用于查询或临时挂失业务，取款密码用于账务交易及其他重要业务。</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（二）客户可通过我行柜台、电话银行申请查询密码。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（三）客户可在我行柜台自行设置取款密码或使用我行配发的密码信封。</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（四）信通卡密码的修改与重置按本章程第二十五条规定办理。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（五）信通卡持卡人须妥善保管密码和信通卡。凡使用密码进行的一切交易均视为持卡人亲自办理。因持卡人未能妥善保管密码或信通卡而造成的损失，由持卡人自行承担。</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第三十一条</w:t>
      </w:r>
      <w:r>
        <w:rPr>
          <w:rFonts w:hint="eastAsia" w:ascii="仿宋" w:hAnsi="仿宋" w:eastAsia="仿宋" w:cs="仿宋"/>
          <w:color w:val="000000"/>
          <w:sz w:val="32"/>
          <w:szCs w:val="32"/>
        </w:rPr>
        <w:t xml:space="preserve"> 信息提示</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持卡人可以定制信息提示业务。信通卡持卡人办理有关财务交易（不含查询类交易）后，我行系统会自动将客户定制的交易信息发送至信通卡持卡人在我行预留的手机号码、绑定的微信公众号或手机银行，使持卡人及时掌握信通卡账务变动情况。</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第三十二条</w:t>
      </w:r>
      <w:r>
        <w:rPr>
          <w:rFonts w:hint="eastAsia" w:ascii="仿宋" w:hAnsi="仿宋" w:eastAsia="仿宋" w:cs="仿宋"/>
          <w:color w:val="000000"/>
          <w:sz w:val="32"/>
          <w:szCs w:val="32"/>
        </w:rPr>
        <w:t xml:space="preserve"> 支付限额管理</w:t>
      </w:r>
    </w:p>
    <w:p>
      <w:pPr>
        <w:spacing w:line="560" w:lineRule="exact"/>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我行对于需要进行风险控制的业务设定交易限额（包括单笔限额、日限额），持卡人可与我行约定交易限额，但该限额的设定不影响我行根据风险控制需求对信通卡进行限额设定的权利。</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第三十三条</w:t>
      </w:r>
      <w:r>
        <w:rPr>
          <w:rFonts w:hint="eastAsia" w:ascii="仿宋" w:hAnsi="仿宋" w:eastAsia="仿宋" w:cs="仿宋"/>
          <w:color w:val="000000"/>
          <w:sz w:val="32"/>
          <w:szCs w:val="32"/>
        </w:rPr>
        <w:t xml:space="preserve"> 根据法律法规以及中国人民银行、国家金融监督管理总局的有关规定，我行通过系统设置，将信通卡大额可疑交易、境外发生的自动取款机提现及消费交易及时向有关监管部门报告。</w:t>
      </w:r>
    </w:p>
    <w:p>
      <w:pPr>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第三十四条 </w:t>
      </w:r>
      <w:r>
        <w:rPr>
          <w:rFonts w:hint="eastAsia" w:ascii="仿宋" w:hAnsi="仿宋" w:eastAsia="仿宋" w:cs="仿宋"/>
          <w:sz w:val="32"/>
          <w:szCs w:val="32"/>
        </w:rPr>
        <w:t>为防范信通卡洗钱风险，我行依据《中华人民共和国反洗钱法》等法律法规，在开展信通卡业务的各项环节中，勤勉尽责履行反洗钱义务，识别和防范信通卡开户、激活、交易等环节中的洗钱风险。对于异常交易行为，我行有权采取相应的交易限制措施。</w:t>
      </w:r>
    </w:p>
    <w:p>
      <w:pPr>
        <w:autoSpaceDE w:val="0"/>
        <w:autoSpaceDN w:val="0"/>
        <w:spacing w:line="560" w:lineRule="exact"/>
        <w:ind w:firstLine="643" w:firstLineChars="200"/>
        <w:rPr>
          <w:rFonts w:ascii="仿宋" w:hAnsi="仿宋" w:eastAsia="仿宋" w:cs="仿宋"/>
          <w:color w:val="000000"/>
          <w:sz w:val="32"/>
          <w:szCs w:val="32"/>
        </w:rPr>
      </w:pPr>
      <w:r>
        <w:rPr>
          <w:rFonts w:hint="eastAsia" w:ascii="仿宋" w:hAnsi="仿宋" w:eastAsia="仿宋" w:cs="仿宋"/>
          <w:b/>
          <w:color w:val="000000"/>
          <w:sz w:val="32"/>
          <w:szCs w:val="32"/>
        </w:rPr>
        <w:t xml:space="preserve">第三十五条 </w:t>
      </w:r>
      <w:r>
        <w:rPr>
          <w:rFonts w:hint="eastAsia" w:ascii="仿宋" w:hAnsi="仿宋" w:eastAsia="仿宋" w:cs="仿宋"/>
          <w:color w:val="000000"/>
          <w:sz w:val="32"/>
          <w:szCs w:val="32"/>
        </w:rPr>
        <w:t>信通卡的所有权属于深圳农商银行。伪造、变造信通卡，使用伪造卡、涂改卡、过期卡及冒用他人信通卡进行诈骗活动的，我行将提交司法机关依法追究其刑事责任。</w:t>
      </w:r>
    </w:p>
    <w:p>
      <w:pPr>
        <w:spacing w:line="560" w:lineRule="exact"/>
        <w:ind w:firstLine="643" w:firstLineChars="200"/>
        <w:rPr>
          <w:rFonts w:ascii="仿宋" w:hAnsi="仿宋" w:eastAsia="仿宋" w:cs="方正仿宋简体"/>
          <w:color w:val="000000"/>
          <w:sz w:val="32"/>
          <w:szCs w:val="32"/>
        </w:rPr>
      </w:pPr>
      <w:r>
        <w:rPr>
          <w:rFonts w:hint="eastAsia" w:ascii="仿宋" w:hAnsi="仿宋" w:eastAsia="仿宋" w:cs="仿宋"/>
          <w:b/>
          <w:color w:val="000000"/>
          <w:sz w:val="32"/>
          <w:szCs w:val="32"/>
        </w:rPr>
        <w:t>第三十六条</w:t>
      </w:r>
      <w:r>
        <w:rPr>
          <w:rFonts w:hint="eastAsia" w:ascii="仿宋" w:hAnsi="仿宋" w:eastAsia="仿宋" w:cs="仿宋"/>
          <w:color w:val="000000"/>
          <w:sz w:val="32"/>
          <w:szCs w:val="32"/>
        </w:rPr>
        <w:t xml:space="preserve"> 发卡行与持卡人所发生的争议，均按本章程及监管部门相关规定或通过法律途径解决。</w:t>
      </w:r>
    </w:p>
    <w:p>
      <w:pPr>
        <w:widowControl/>
        <w:spacing w:line="560" w:lineRule="exact"/>
        <w:jc w:val="center"/>
        <w:rPr>
          <w:rFonts w:ascii="黑体" w:hAnsi="宋体" w:eastAsia="黑体" w:cs="黑体"/>
          <w:bCs/>
          <w:color w:val="000000"/>
          <w:sz w:val="32"/>
          <w:szCs w:val="32"/>
        </w:rPr>
      </w:pPr>
      <w:r>
        <w:rPr>
          <w:rFonts w:hint="eastAsia" w:ascii="黑体" w:hAnsi="宋体" w:eastAsia="黑体" w:cs="黑体"/>
          <w:bCs/>
          <w:color w:val="000000"/>
          <w:sz w:val="32"/>
          <w:szCs w:val="32"/>
        </w:rPr>
        <w:t>第七章  附则</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第三十七条</w:t>
      </w:r>
      <w:r>
        <w:rPr>
          <w:rFonts w:hint="eastAsia" w:ascii="仿宋" w:hAnsi="仿宋" w:eastAsia="仿宋" w:cs="仿宋"/>
          <w:sz w:val="32"/>
          <w:szCs w:val="32"/>
        </w:rPr>
        <w:t xml:space="preserve"> 以上条款如遇相关规定调整，按新规定执行。</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第三十八条</w:t>
      </w:r>
      <w:r>
        <w:rPr>
          <w:rFonts w:hint="eastAsia" w:ascii="仿宋" w:hAnsi="仿宋" w:eastAsia="仿宋" w:cs="仿宋"/>
          <w:sz w:val="32"/>
          <w:szCs w:val="32"/>
        </w:rPr>
        <w:t xml:space="preserve"> 为满足我行向持卡人提供信通卡相关服务的需要，持卡人同意在法律法规允许的范围内将持卡人的信息用于我行其它产品和其它服务的交叉销售。持卡人授权并同意，我行在审核和存续期间，有权出于信通卡业务的需要，向中国人民银行联网核查公民身份信息系统、银行卡组织风险信息共享系统及其他依法设立的机构或系统、我行分支机构、我行服务合作方（包括但不限于联名/认同卡下合作方），采集、处理、保存、传递及应用持卡人姓名、性别、证件类型、证件号码、证件有效期、联系地址、国籍、职业、联系方式、社保等相关信息。</w:t>
      </w:r>
    </w:p>
    <w:p>
      <w:pPr>
        <w:spacing w:line="560" w:lineRule="exact"/>
        <w:ind w:firstLine="640" w:firstLineChars="200"/>
        <w:rPr>
          <w:rFonts w:ascii="仿宋" w:hAnsi="仿宋" w:eastAsia="仿宋" w:cs="仿宋"/>
          <w:sz w:val="32"/>
          <w:szCs w:val="32"/>
        </w:rPr>
      </w:pPr>
      <w:r>
        <w:rPr>
          <w:rFonts w:hint="eastAsia" w:ascii="仿宋" w:hAnsi="仿宋" w:eastAsia="仿宋" w:cs="仿宋"/>
          <w:sz w:val="32"/>
          <w:szCs w:val="32"/>
        </w:rPr>
        <w:t>持卡人授权并同意，我行出于为持卡人提供综合服务的目的，视情况将其信息披露给我行分支机构以及有直接合作关系的机构、联名/认同卡项目合作方等。我行承诺通过法律协议的方式要求接收持卡人披露资料的合作机构承担保密义务。如我行超出授权范围进行数据报送和查询使用，我行将承担有关法律责任。</w:t>
      </w:r>
    </w:p>
    <w:p>
      <w:pPr>
        <w:widowControl/>
        <w:autoSpaceDE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第三十九条 </w:t>
      </w:r>
      <w:r>
        <w:rPr>
          <w:rFonts w:hint="eastAsia" w:ascii="仿宋" w:hAnsi="仿宋" w:eastAsia="仿宋" w:cs="仿宋"/>
          <w:sz w:val="32"/>
          <w:szCs w:val="32"/>
        </w:rPr>
        <w:t>持卡人自愿同意并授权我行收集、传输、处理、保存、加工、根据法律行政法规的要求披露、共享及使用持卡人的授权信息。持卡人基于风险管理、优惠权益推荐、数据研究分析等业务场景之处理目的和使用范围内,授权我行向银行卡清算机构及其他合法存有持卡人信息的第三方机构，提供持卡人的以下个人信息：（1）个人基本信息；（2）银行卡信息；(3)交易信息，用于查询、验证、确认持卡人授权的个人信息，或委托上述机构对持卡人的个人信息进行处理、加工、传输，并将上述信息及数据结果提供给我行使用。</w:t>
      </w:r>
    </w:p>
    <w:p>
      <w:pPr>
        <w:widowControl/>
        <w:autoSpaceDE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sz w:val="32"/>
          <w:szCs w:val="32"/>
        </w:rPr>
        <w:t>您授权的个人信息包括：</w:t>
      </w:r>
      <w:r>
        <w:rPr>
          <w:rFonts w:hint="eastAsia" w:ascii="仿宋" w:hAnsi="仿宋" w:eastAsia="仿宋" w:cs="仿宋"/>
          <w:color w:val="000000"/>
          <w:kern w:val="0"/>
          <w:sz w:val="32"/>
          <w:szCs w:val="32"/>
        </w:rPr>
        <w:t>（1）个人基本信息（如证件类型及号码、手机号）；（2）银行卡信息（如银行卡号、发卡机构）；（3）交易信息（经银行卡清算机构处理的交易信息，如交易金额、交易时间、交易方式、交易地点、商户名称、商户编号、终端编号、受理机构）。</w:t>
      </w:r>
    </w:p>
    <w:p>
      <w:pPr>
        <w:widowControl/>
        <w:autoSpaceDE w:val="0"/>
        <w:spacing w:line="56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我行有权在履行反洗钱义务、反电诈所必须的范围内查询、收集、存储、使用、加工并传输持卡人相关信息。</w:t>
      </w:r>
    </w:p>
    <w:p>
      <w:pPr>
        <w:autoSpaceDE w:val="0"/>
        <w:autoSpaceDN w:val="0"/>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 xml:space="preserve">第四十条 </w:t>
      </w:r>
      <w:r>
        <w:rPr>
          <w:rFonts w:hint="eastAsia" w:ascii="仿宋" w:hAnsi="仿宋" w:eastAsia="仿宋" w:cs="仿宋"/>
          <w:sz w:val="32"/>
          <w:szCs w:val="32"/>
        </w:rPr>
        <w:t>本章程由深圳农村商业银行</w:t>
      </w:r>
      <w:r>
        <w:rPr>
          <w:rFonts w:hint="eastAsia" w:ascii="仿宋" w:hAnsi="仿宋" w:eastAsia="仿宋" w:cs="仿宋"/>
          <w:color w:val="000000"/>
          <w:sz w:val="32"/>
          <w:szCs w:val="32"/>
        </w:rPr>
        <w:t>股份有限公司</w:t>
      </w:r>
      <w:r>
        <w:rPr>
          <w:rFonts w:hint="eastAsia" w:ascii="仿宋" w:hAnsi="仿宋" w:eastAsia="仿宋" w:cs="仿宋"/>
          <w:sz w:val="32"/>
          <w:szCs w:val="32"/>
        </w:rPr>
        <w:t>负责修订和解释。</w:t>
      </w:r>
      <w:r>
        <w:rPr>
          <w:rFonts w:hint="eastAsia" w:ascii="仿宋" w:hAnsi="仿宋" w:eastAsia="仿宋" w:cs="仿宋"/>
          <w:color w:val="000000"/>
          <w:sz w:val="32"/>
          <w:szCs w:val="32"/>
        </w:rPr>
        <w:t>我行保留修改本章程的权利，如我行修改本章程，将采取在营业网点及深圳农商银行网站公示，修改后的章程自公告记载的生效日生效，修改后的条款对持卡人具有法律约束力。在公告期间内，持卡人如有异议，有权选择销卡，若持卡人继续使用信通卡及相关服务，即视为持卡人接受修订章程。</w:t>
      </w:r>
    </w:p>
    <w:p>
      <w:pPr>
        <w:spacing w:line="560" w:lineRule="exact"/>
        <w:ind w:firstLine="643" w:firstLineChars="200"/>
        <w:rPr>
          <w:rFonts w:ascii="仿宋" w:hAnsi="仿宋" w:eastAsia="仿宋" w:cs="仿宋"/>
          <w:sz w:val="32"/>
          <w:szCs w:val="32"/>
        </w:rPr>
      </w:pPr>
      <w:r>
        <w:rPr>
          <w:rFonts w:hint="eastAsia" w:ascii="仿宋" w:hAnsi="仿宋" w:eastAsia="仿宋" w:cs="仿宋"/>
          <w:b/>
          <w:sz w:val="32"/>
          <w:szCs w:val="32"/>
        </w:rPr>
        <w:t>第四十一条</w:t>
      </w:r>
      <w:r>
        <w:rPr>
          <w:rFonts w:hint="eastAsia" w:ascii="仿宋" w:hAnsi="仿宋" w:eastAsia="仿宋" w:cs="仿宋"/>
          <w:sz w:val="32"/>
          <w:szCs w:val="32"/>
        </w:rPr>
        <w:t xml:space="preserve"> 本章程自公示生效日起执行。</w:t>
      </w:r>
      <w:r>
        <w:rPr>
          <w:rFonts w:hint="eastAsia" w:ascii="仿宋" w:hAnsi="仿宋" w:eastAsia="仿宋" w:cs="仿宋"/>
          <w:kern w:val="0"/>
          <w:sz w:val="32"/>
          <w:szCs w:val="32"/>
        </w:rPr>
        <w:t>原</w:t>
      </w:r>
      <w:r>
        <w:rPr>
          <w:rFonts w:hint="eastAsia" w:ascii="仿宋" w:hAnsi="仿宋" w:eastAsia="仿宋" w:cs="仿宋"/>
          <w:sz w:val="32"/>
          <w:szCs w:val="32"/>
        </w:rPr>
        <w:t>《信通借记（个人）卡章程（2015年第一版）》</w:t>
      </w:r>
      <w:r>
        <w:rPr>
          <w:rFonts w:hint="eastAsia" w:ascii="仿宋" w:hAnsi="仿宋" w:eastAsia="仿宋" w:cs="仿宋"/>
          <w:kern w:val="0"/>
          <w:sz w:val="32"/>
          <w:szCs w:val="32"/>
        </w:rPr>
        <w:t>自即日起废止。</w:t>
      </w:r>
    </w:p>
    <w:bookmarkEnd w:id="0"/>
    <w:p>
      <w:pPr>
        <w:tabs>
          <w:tab w:val="left" w:pos="6330"/>
        </w:tabs>
        <w:spacing w:line="560" w:lineRule="exact"/>
        <w:rPr>
          <w:rFonts w:ascii="仿宋" w:hAnsi="仿宋" w:eastAsia="仿宋" w:cs="仿宋"/>
          <w:sz w:val="32"/>
          <w:szCs w:val="32"/>
        </w:rPr>
      </w:pPr>
    </w:p>
    <w:sectPr>
      <w:headerReference r:id="rId4" w:type="first"/>
      <w:headerReference r:id="rId3" w:type="default"/>
      <w:footerReference r:id="rId5" w:type="default"/>
      <w:footerReference r:id="rId6" w:type="even"/>
      <w:pgSz w:w="11906" w:h="16838"/>
      <w:pgMar w:top="1871" w:right="1474" w:bottom="1871" w:left="1588" w:header="851" w:footer="1418" w:gutter="0"/>
      <w:pgNumType w:fmt="numberInDash"/>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细黑">
    <w:altName w:val="黑体"/>
    <w:panose1 w:val="02010600040101010101"/>
    <w:charset w:val="86"/>
    <w:family w:val="auto"/>
    <w:pitch w:val="default"/>
    <w:sig w:usb0="00000000" w:usb1="00000000" w:usb2="00000010" w:usb3="00000000" w:csb0="0004009F" w:csb1="00000000"/>
  </w:font>
  <w:font w:name="新宋体">
    <w:panose1 w:val="02010609030101010101"/>
    <w:charset w:val="86"/>
    <w:family w:val="modern"/>
    <w:pitch w:val="default"/>
    <w:sig w:usb0="00000003" w:usb1="288F0000" w:usb2="00000006" w:usb3="00000000" w:csb0="00040001" w:csb1="00000000"/>
  </w:font>
  <w:font w:name="方正仿宋简体">
    <w:altName w:val="方正小标宋简体"/>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right" w:y="1"/>
      <w:rPr>
        <w:rStyle w:val="6"/>
        <w:rFonts w:ascii="仿宋" w:hAnsi="仿宋" w:eastAsia="仿宋"/>
        <w:sz w:val="28"/>
        <w:szCs w:val="28"/>
      </w:rPr>
    </w:pPr>
    <w:r>
      <w:rPr>
        <w:rStyle w:val="6"/>
        <w:rFonts w:ascii="仿宋" w:hAnsi="仿宋" w:eastAsia="仿宋"/>
        <w:sz w:val="28"/>
        <w:szCs w:val="28"/>
      </w:rPr>
      <w:fldChar w:fldCharType="begin"/>
    </w:r>
    <w:r>
      <w:rPr>
        <w:rStyle w:val="6"/>
        <w:rFonts w:ascii="仿宋" w:hAnsi="仿宋" w:eastAsia="仿宋"/>
        <w:sz w:val="28"/>
        <w:szCs w:val="28"/>
      </w:rPr>
      <w:instrText xml:space="preserve">PAGE  </w:instrText>
    </w:r>
    <w:r>
      <w:rPr>
        <w:rStyle w:val="6"/>
        <w:rFonts w:ascii="仿宋" w:hAnsi="仿宋" w:eastAsia="仿宋"/>
        <w:sz w:val="28"/>
        <w:szCs w:val="28"/>
      </w:rPr>
      <w:fldChar w:fldCharType="separate"/>
    </w:r>
    <w:r>
      <w:rPr>
        <w:rStyle w:val="6"/>
        <w:rFonts w:ascii="仿宋" w:hAnsi="仿宋" w:eastAsia="仿宋"/>
        <w:sz w:val="28"/>
        <w:szCs w:val="28"/>
      </w:rPr>
      <w:t>- 13 -</w:t>
    </w:r>
    <w:r>
      <w:rPr>
        <w:rStyle w:val="6"/>
        <w:rFonts w:ascii="仿宋" w:hAnsi="仿宋" w:eastAsia="仿宋"/>
        <w:sz w:val="28"/>
        <w:szCs w:val="28"/>
      </w:rP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y="1"/>
      <w:rPr>
        <w:rStyle w:val="6"/>
        <w:rFonts w:ascii="仿宋" w:hAnsi="仿宋" w:eastAsia="仿宋"/>
        <w:sz w:val="28"/>
        <w:szCs w:val="28"/>
      </w:rPr>
    </w:pPr>
    <w:r>
      <w:rPr>
        <w:rStyle w:val="6"/>
        <w:rFonts w:ascii="仿宋" w:hAnsi="仿宋" w:eastAsia="仿宋"/>
        <w:sz w:val="28"/>
        <w:szCs w:val="28"/>
      </w:rPr>
      <w:fldChar w:fldCharType="begin"/>
    </w:r>
    <w:r>
      <w:rPr>
        <w:rStyle w:val="6"/>
        <w:rFonts w:ascii="仿宋" w:hAnsi="仿宋" w:eastAsia="仿宋"/>
        <w:sz w:val="28"/>
        <w:szCs w:val="28"/>
      </w:rPr>
      <w:instrText xml:space="preserve">PAGE  </w:instrText>
    </w:r>
    <w:r>
      <w:rPr>
        <w:rStyle w:val="6"/>
        <w:rFonts w:ascii="仿宋" w:hAnsi="仿宋" w:eastAsia="仿宋"/>
        <w:sz w:val="28"/>
        <w:szCs w:val="28"/>
      </w:rPr>
      <w:fldChar w:fldCharType="separate"/>
    </w:r>
    <w:r>
      <w:rPr>
        <w:rStyle w:val="6"/>
        <w:rFonts w:ascii="仿宋" w:hAnsi="仿宋" w:eastAsia="仿宋"/>
        <w:sz w:val="28"/>
        <w:szCs w:val="28"/>
      </w:rPr>
      <w:t>- 12 -</w:t>
    </w:r>
    <w:r>
      <w:rPr>
        <w:rStyle w:val="6"/>
        <w:rFonts w:ascii="仿宋" w:hAnsi="仿宋" w:eastAsia="仿宋"/>
        <w:sz w:val="28"/>
        <w:szCs w:val="28"/>
      </w:rPr>
      <w:fldChar w:fldCharType="end"/>
    </w:r>
  </w:p>
  <w:p>
    <w:pPr>
      <w:pStyle w:val="2"/>
      <w:tabs>
        <w:tab w:val="left" w:pos="615"/>
        <w:tab w:val="clear" w:pos="4153"/>
        <w:tab w:val="clear" w:pos="8306"/>
      </w:tabs>
    </w:pPr>
    <w: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1"/>
        <w:left w:val="none" w:color="auto" w:sz="0" w:space="4"/>
        <w:bottom w:val="none" w:color="auto" w:sz="0" w:space="1"/>
        <w:right w:val="none" w:color="auto" w:sz="0" w:space="4"/>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7FE62B7"/>
    <w:multiLevelType w:val="multilevel"/>
    <w:tmpl w:val="E7FE62B7"/>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172A27"/>
    <w:rsid w:val="002432D4"/>
    <w:rsid w:val="002E7CB8"/>
    <w:rsid w:val="0032364A"/>
    <w:rsid w:val="003A2F3E"/>
    <w:rsid w:val="004C3429"/>
    <w:rsid w:val="00562498"/>
    <w:rsid w:val="00615F57"/>
    <w:rsid w:val="00637371"/>
    <w:rsid w:val="006634E8"/>
    <w:rsid w:val="006D730D"/>
    <w:rsid w:val="006E1FA9"/>
    <w:rsid w:val="00785A7D"/>
    <w:rsid w:val="007C15C5"/>
    <w:rsid w:val="007D3E13"/>
    <w:rsid w:val="00913E85"/>
    <w:rsid w:val="00AF5EE9"/>
    <w:rsid w:val="00B1015B"/>
    <w:rsid w:val="00BD6965"/>
    <w:rsid w:val="00C8301A"/>
    <w:rsid w:val="00CB7E49"/>
    <w:rsid w:val="00CD0996"/>
    <w:rsid w:val="00D97CF6"/>
    <w:rsid w:val="00DC0B7B"/>
    <w:rsid w:val="00DE7D85"/>
    <w:rsid w:val="00E24C93"/>
    <w:rsid w:val="00E43D9A"/>
    <w:rsid w:val="00F26B01"/>
    <w:rsid w:val="00FA0AAA"/>
    <w:rsid w:val="1BD962DD"/>
    <w:rsid w:val="238237CD"/>
    <w:rsid w:val="5DDFDB29"/>
    <w:rsid w:val="6EFDFF01"/>
    <w:rsid w:val="7FFEA5EC"/>
    <w:rsid w:val="8B7E916D"/>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uiPriority w:val="0"/>
  </w:style>
  <w:style w:type="character" w:customStyle="1" w:styleId="7">
    <w:name w:val="页眉 Char"/>
    <w:link w:val="3"/>
    <w:uiPriority w:val="0"/>
    <w:rPr>
      <w:rFonts w:ascii="Calibri" w:hAnsi="Calibri"/>
      <w:kern w:val="2"/>
      <w:sz w:val="18"/>
      <w:szCs w:val="18"/>
    </w:rPr>
  </w:style>
  <w:style w:type="character" w:customStyle="1" w:styleId="8">
    <w:name w:val="页脚 Char"/>
    <w:link w:val="2"/>
    <w:uiPriority w:val="0"/>
    <w:rPr>
      <w:rFonts w:ascii="Calibri" w:hAnsi="Calibri"/>
      <w:kern w:val="2"/>
      <w:sz w:val="18"/>
      <w:szCs w:val="18"/>
    </w:rPr>
  </w:style>
  <w:style w:type="paragraph" w:customStyle="1" w:styleId="9">
    <w:name w:val="Char Char Char Char"/>
    <w:basedOn w:val="1"/>
    <w:uiPriority w:val="0"/>
    <w:pPr>
      <w:spacing w:line="360" w:lineRule="auto"/>
      <w:ind w:firstLine="617" w:firstLineChars="257"/>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SRCB</Company>
  <Pages>11</Pages>
  <Words>900</Words>
  <Characters>5132</Characters>
  <Lines>42</Lines>
  <Paragraphs>12</Paragraphs>
  <TotalTime>23</TotalTime>
  <ScaleCrop>false</ScaleCrop>
  <LinksUpToDate>false</LinksUpToDate>
  <CharactersWithSpaces>6020</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2018-06-22T14:25:00Z</dcterms:created>
  <dc:creator>杨媚</dc:creator>
  <cp:lastModifiedBy>zhengyong</cp:lastModifiedBy>
  <cp:lastPrinted>2016-07-29T16:21:00Z</cp:lastPrinted>
  <dcterms:modified xsi:type="dcterms:W3CDTF">2025-09-29T09:28:17Z</dcterms:modified>
  <dc:title>深圳农村商业银行</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AD2C0D2693E546B5884B724ED021E241</vt:lpwstr>
  </property>
</Properties>
</file>