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tblGrid>
      <w:tr>
        <w:tblPrEx>
          <w:tblCellMar>
            <w:top w:w="0" w:type="dxa"/>
            <w:left w:w="10" w:type="dxa"/>
            <w:bottom w:w="0" w:type="dxa"/>
            <w:right w:w="10" w:type="dxa"/>
          </w:tblCellMar>
        </w:tblPrEx>
        <w:trPr>
          <w:gridAfter w:val="4"/>
          <w:wAfter w:w="4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兴业银行天天万利宝稳利6号K款净值型理财产品2024年第二季度报告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兴业银行天天万利宝稳利6号K款净值型理财产品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4"/>
          <w:wAfter w:w="4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4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兴业银行天天万利宝稳利6号K款净值型理财产品2024年第二季度报告</w:t>
            </w: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4"/>
          <w:wAfter w:w="4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p>
            <w:pPr>
              <w:pStyle w:val="4"/>
            </w:pPr>
          </w:p>
        </w:tc>
        <w:tc>
          <w:p>
            <w:pPr>
              <w:pStyle w:val="4"/>
            </w:pPr>
          </w:p>
        </w:tc>
      </w:tr>
      <w:tr>
        <w:tblPrEx>
          <w:tblCellMar>
            <w:top w:w="0" w:type="dxa"/>
            <w:left w:w="10" w:type="dxa"/>
            <w:bottom w:w="0" w:type="dxa"/>
            <w:right w:w="10" w:type="dxa"/>
          </w:tblCellMar>
        </w:tblPrEx>
        <w:trPr>
          <w:gridAfter w:val="4"/>
          <w:wAfter w:w="4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4"/>
          <w:wAfter w:w="4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2" w:name="JR_PAGE_ANCHOR_0_3"/>
            <w:bookmarkEnd w:id="2"/>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兴业银行天天万利宝稳利6号K款净值型理财产品2024年第二季度报告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兴业银行天天万利宝稳利6号K款净值型理财产品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9K209150</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Z7002021000103</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732,422,951.21份</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4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稳利季季增利C款</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9K20915A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693,607,738.20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稳利季季增利C款B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9K20915B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9,320,717.96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稳利季季增利C款C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9K20915C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7,076,874.11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620" w:hRule="exact"/>
        </w:trPr>
        <w:tc>
          <w:p>
            <w:pPr>
              <w:pStyle w:val="4"/>
            </w:pPr>
          </w:p>
        </w:tc>
        <w:tc>
          <w:p>
            <w:pPr>
              <w:pStyle w:val="4"/>
            </w:pPr>
          </w:p>
        </w:tc>
        <w:tc>
          <w:tcPr>
            <w:gridSpan w:val="5"/>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31"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3" w:name="JR_PAGE_ANCHOR_0_4"/>
            <w:bookmarkEnd w:id="3"/>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兴业银行天天万利宝稳利6号K款净值型理财产品2024年第二季度报告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p>
            <w:pPr>
              <w:pStyle w:val="4"/>
            </w:pPr>
          </w:p>
        </w:tc>
        <w:tc>
          <w:tcPr>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稳利季季增利C款D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9K20915D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22,417,620.94</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p>
            <w:pPr>
              <w:pStyle w:val="4"/>
            </w:pPr>
          </w:p>
        </w:tc>
        <w:tc>
          <w:tcPr>
            <w:gridSpan w:val="15"/>
            <w:tcMar>
              <w:top w:w="0" w:type="dxa"/>
              <w:left w:w="0" w:type="dxa"/>
              <w:bottom w:w="0" w:type="dxa"/>
              <w:right w:w="0" w:type="dxa"/>
            </w:tcMar>
            <w:vAlign w:val="top"/>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trHeight w:val="30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9K20915A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9K20915B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9K20915C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9K20915D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124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业绩比较基准（9K20915A）：人民银行活期存款利率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业绩比较基准（9K20915B）：人民银行活期存款利率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业绩比较基准（9K20915C）：人民银行活期存款利率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业绩比较基准（9K20915D）：人民银行活期存款利率</w:t>
            </w:r>
          </w:p>
        </w:tc>
        <w:tc>
          <w:p>
            <w:pPr>
              <w:pStyle w:val="4"/>
            </w:pPr>
          </w:p>
        </w:tc>
      </w:tr>
      <w:tr>
        <w:tblPrEx>
          <w:tblCellMar>
            <w:top w:w="0" w:type="dxa"/>
            <w:left w:w="10" w:type="dxa"/>
            <w:bottom w:w="0" w:type="dxa"/>
            <w:right w:w="10" w:type="dxa"/>
          </w:tblCellMar>
        </w:tblPrEx>
        <w:trPr>
          <w:trHeight w:val="2820" w:hRule="atLeast"/>
        </w:trPr>
        <w:tc>
          <w:p>
            <w:pPr>
              <w:pStyle w:val="4"/>
            </w:pPr>
          </w:p>
        </w:tc>
        <w:tc>
          <w:p>
            <w:pPr>
              <w:pStyle w:val="4"/>
            </w:pPr>
          </w:p>
        </w:tc>
        <w:tc>
          <w:p>
            <w:pPr>
              <w:pStyle w:val="4"/>
            </w:pPr>
          </w:p>
        </w:tc>
        <w:tc>
          <w:tcPr>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（2）兴业银行天天万利宝稳利6号K款净值型理财产品成立于2021年04月28日，数据截止至2024年06月30日。过往业绩是由兴银理财有限责任公司计算并确认后所提供的数据。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trHeight w:val="2944"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4" w:name="JR_PAGE_ANCHOR_0_5"/>
            <w:bookmarkEnd w:id="4"/>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兴业银行天天万利宝稳利6号K款净值型理财产品2024年第二季度报告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top"/>
          </w:tcPr>
          <w:p>
            <w:r>
              <w:rPr>
                <w:rFonts w:ascii="宋体" w:hAnsi="宋体" w:eastAsia="宋体" w:cs="宋体"/>
                <w:color w:val="000000"/>
                <w:sz w:val="21"/>
              </w:rPr>
              <w:t>报告期末，产品净值表现具体如下：</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9K209150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1.09044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1.10123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798,659,808.81</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9K20915A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1.09129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1.10208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756,927,632.86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9K20915B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1.05628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1.05628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9,845,332.83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9K20915C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1.05175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1.05175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7,443,095.27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9K20915D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1.09038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1.09038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24,443,747.85</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9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张宸先生，中山大学经济学硕士，7年资深投研经验，曾任职于广发银行股份有限公司、广发证券股份有限公司。2019年加入兴银理财有限责任公司，任固定收益投资部投资经理。投资经验丰富，产品业绩稳健，擅长宏观基本面研究、利率债交易以及信用债套利挖掘。</w:t>
            </w:r>
          </w:p>
        </w:tc>
        <w:tc>
          <w:tcPr>
            <w:gridSpan w:val="4"/>
          </w:tcPr>
          <w:p>
            <w:pPr>
              <w:pStyle w:val="4"/>
            </w:pPr>
          </w:p>
        </w:tc>
        <w:tc>
          <w:p>
            <w:pPr>
              <w:pStyle w:val="4"/>
            </w:pPr>
          </w:p>
        </w:tc>
      </w:tr>
      <w:tr>
        <w:tblPrEx>
          <w:tblCellMar>
            <w:top w:w="0" w:type="dxa"/>
            <w:left w:w="10" w:type="dxa"/>
            <w:bottom w:w="0" w:type="dxa"/>
            <w:right w:w="10" w:type="dxa"/>
          </w:tblCellMar>
        </w:tblPrEx>
        <w:trPr>
          <w:trHeight w:val="7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4"/>
          </w:tcPr>
          <w:p>
            <w:pPr>
              <w:pStyle w:val="4"/>
            </w:pPr>
          </w:p>
        </w:tc>
        <w:tc>
          <w:p>
            <w:pPr>
              <w:pStyle w:val="4"/>
            </w:pPr>
          </w:p>
        </w:tc>
      </w:tr>
      <w:tr>
        <w:tblPrEx>
          <w:tblCellMar>
            <w:top w:w="0" w:type="dxa"/>
            <w:left w:w="10" w:type="dxa"/>
            <w:bottom w:w="0" w:type="dxa"/>
            <w:right w:w="10" w:type="dxa"/>
          </w:tblCellMar>
        </w:tblPrEx>
        <w:trPr>
          <w:trHeight w:val="4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59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0" w:type="dxa"/>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兴业银行天天万利宝稳利6号K款净值型理财产品2024年第二季度报告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5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5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2"/>
          <w:wAfter w:w="2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36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36.28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60.56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240" w:hRule="atLeast"/>
        </w:trPr>
        <w:tc>
          <w:p>
            <w:pPr>
              <w:pStyle w:val="4"/>
            </w:pPr>
          </w:p>
        </w:tc>
        <w:tc>
          <w:tcPr>
            <w:gridSpan w:val="14"/>
            <w:tcMar>
              <w:top w:w="0" w:type="dxa"/>
              <w:left w:w="0" w:type="dxa"/>
              <w:bottom w:w="0" w:type="dxa"/>
              <w:right w:w="0" w:type="dxa"/>
            </w:tcMar>
            <w:vAlign w:val="top"/>
          </w:tcPr>
          <w:p>
            <w:pPr>
              <w:spacing w:before="0" w:after="0" w:line="320" w:lineRule="exact"/>
              <w:ind w:firstLine="420" w:firstLineChars="200"/>
              <w:jc w:val="left"/>
            </w:pPr>
            <w:bookmarkStart w:id="8" w:name="_GoBack"/>
            <w:bookmarkEnd w:id="8"/>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23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6" w:name="JR_PAGE_ANCHOR_0_7"/>
            <w:bookmarkEnd w:id="6"/>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兴业银行天天万利宝稳利6号K款净值型理财产品2024年第二季度报告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质押式逆回购(SECREPO240625000329700)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100,041,155.76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12.53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质押式逆回购(SECREPO240627000331954)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100,027,777.40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12.52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质押式逆回购(SECREPO240628000332944)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90,019,972.60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11.27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国寿安保尊弘短债债券型证券投资基金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70,348,508.46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8.81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安信鑫日享中短债债券型证券投资基金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50,555,200.59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诺德短债债券型证券投资基金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50,466,957.21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广发景益债券型证券投资基金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50,316,649.88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永赢中债-1-3年政策性金融债指数证券投资基金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50,168,045.39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诺德中短债债券型证券投资基金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50,148,222.91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国泰合融纯债债券型证券投资基金</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31,183,950.63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3.90</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53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兴业银行天天万利宝稳利6号K款净值型理财产品2024年第二季度报告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兴业银行天天万利宝稳利6号K款净值型理财产品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30.6478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兴业中证银行50金融债指数证券投资基金</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1.3946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兴业基金管理有限公司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兴业银行天天万利宝稳利6号K款净值型理财产品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5.9996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051010100101186397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兴业银行天天万利宝稳利6号K款净值型理财产品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9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p>
            <w:pPr>
              <w:pStyle w:val="4"/>
            </w:pPr>
          </w:p>
        </w:tc>
      </w:tr>
      <w:tr>
        <w:tblPrEx>
          <w:tblCellMar>
            <w:top w:w="0" w:type="dxa"/>
            <w:left w:w="10" w:type="dxa"/>
            <w:bottom w:w="0" w:type="dxa"/>
            <w:right w:w="10" w:type="dxa"/>
          </w:tblCellMar>
        </w:tblPrEx>
        <w:trPr>
          <w:trHeight w:val="401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8</w:t>
            </w:r>
          </w:p>
        </w:tc>
        <w:tc>
          <w:tcPr>
            <w:gridSpan w:val="3"/>
          </w:tcPr>
          <w:p>
            <w:pPr>
              <w:pStyle w:val="4"/>
            </w:pPr>
          </w:p>
        </w:tc>
        <w:tc>
          <w:tcPr>
            <w:gridSpan w:val="4"/>
          </w:tcPr>
          <w:p>
            <w:pPr>
              <w:pStyle w:val="4"/>
            </w:pPr>
          </w:p>
        </w:tc>
        <w:tc>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800"/>
  <w:compat>
    <w:useFELayout/>
    <w:splitPgBreakAndParaMark/>
    <w:compatSetting w:name="compatibilityMode" w:uri="http://schemas.microsoft.com/office/word" w:val="12"/>
  </w:compat>
  <w:rsids>
    <w:rsidRoot w:val="00000000"/>
    <w:rsid w:val="201C01F6"/>
    <w:rsid w:val="4DCC0A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2024-07-18T14:23:00Z</dcterms:created>
  <dc:creator>hansonghua</dc:creator>
  <cp:lastModifiedBy>hansonghua</cp:lastModifiedBy>
  <dcterms:modified xsi:type="dcterms:W3CDTF">2024-07-18T14:37:52Z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