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兴银理财增盈稳享封闭式26号固收类理财产品2024年第二季度报告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兴银理财增盈稳享封闭式26号固收类理财产品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兴银理财增盈稳享封闭式26号固收类理财产品2024年第二季度报告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兴银理财增盈稳享封闭式26号固收类理财产品2024年第二季度报告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兴银理财增盈稳享封闭式26号固收类理财产品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9K240260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Z7002022000245</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封闭式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971,959,582.41份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增盈稳享封闭式26号A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9K24026A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359,928,989.06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增盈稳享封闭式26号B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9K24026B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612,030,593.35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兴银理财增盈稳享封闭式26号固收类理财产品2024年第二季度报告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9K24026A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9K24026B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业绩比较基准（9K24026A）：4.65%</w:t>
            </w:r>
            <w:r>
              <w:rPr>
                <w:rFonts w:ascii="宋体" w:hAnsi="宋体" w:eastAsia="宋体" w:cs="宋体"/>
                <w:color w:val="000000"/>
                <w:sz w:val="21"/>
              </w:rPr>
              <w:br w:type="textWrapping"/>
            </w:r>
            <w:r>
              <w:rPr>
                <w:rFonts w:ascii="宋体" w:hAnsi="宋体" w:eastAsia="宋体" w:cs="宋体"/>
                <w:color w:val="000000"/>
                <w:sz w:val="21"/>
              </w:rPr>
              <w:t>业绩比较基准（9K24026B）：4.75%</w:t>
            </w: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20" w:hRule="atLeast"/>
        </w:trPr>
        <w:tc>
          <w:p>
            <w:pPr>
              <w:pStyle w:val="4"/>
            </w:pPr>
          </w:p>
        </w:tc>
        <w:tc>
          <w:tcPr>
            <w:gridSpan w:val="2"/>
          </w:tcPr>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（2）兴银理财增盈稳享封闭式26号固收类理财产品成立于2022年08月12日，数据截止至2024年06月30日。过往业绩是由兴银理财有限责任公司计算并确认后所提供的数据。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9K240260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1.04464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1.04464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1,015,352,023.78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9K24026A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1.04341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1.04341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375,551,760.81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9K24026B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1.04537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1.04537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639,800,262.97</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4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朱轶伦先生，英国格拉斯哥大学国际金融专业硕士研究生毕业，上海财经大学计算机科学与技术本科,具有基金从业资格。曾在长信基金担任量化投资部研究员、量化专户投资部投资经理和长信先优债券型证券投资基金、长信利泰灵活配置混合型证券投资基金、长信先锐债券型证券投资基金、长信利发债券型证券投资基金、长信睿进灵活配置混合型证券投资基金、长信颐天平衡养老目标三年持有期混合型基金中基金(FOF)和长信稳进资产配置混合型基</w:t>
            </w:r>
          </w:p>
        </w:tc>
        <w:tc>
          <w:tcPr>
            <w:gridSpan w:val="4"/>
          </w:tcPr>
          <w:p>
            <w:pPr>
              <w:pStyle w:val="4"/>
            </w:pPr>
          </w:p>
        </w:tc>
        <w:tc>
          <w:p>
            <w:pPr>
              <w:pStyle w:val="4"/>
            </w:pPr>
          </w:p>
        </w:tc>
      </w:tr>
      <w:tr>
        <w:tblPrEx>
          <w:tblCellMar>
            <w:top w:w="0" w:type="dxa"/>
            <w:left w:w="10" w:type="dxa"/>
            <w:bottom w:w="0" w:type="dxa"/>
            <w:right w:w="10" w:type="dxa"/>
          </w:tblCellMar>
        </w:tblPrEx>
        <w:trPr>
          <w:trHeight w:val="39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兴银理财增盈稳享封闭式26号固收类理财产品2024年第二季度报告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金中基金(FOF)的基金经理，在大类资产配置、债券和FOF等方面投资具有丰富的投资经验，风格较为均衡。</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7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回顾2024年上半年，从宏观基本面上来看，经济复苏较为缓慢，企业中长期贷款增速不及预期，地产板块仍然是重要拖累项目，房地产市场销售和开发建设整体仍然呈现下行的态势，从货币政策上来看，全年货币政策相对宽松，债市收益率总体走低，期间经历两次回调，因此债券组合以中短久期票息策略为主。</w:t>
            </w:r>
            <w:r>
              <w:rPr>
                <w:rFonts w:ascii="宋体" w:hAnsi="宋体" w:eastAsia="宋体" w:cs="宋体"/>
                <w:color w:val="000000"/>
                <w:sz w:val="21"/>
              </w:rPr>
              <w:br w:type="textWrapping"/>
            </w:r>
            <w:r>
              <w:rPr>
                <w:rFonts w:ascii="宋体" w:hAnsi="宋体" w:eastAsia="宋体" w:cs="宋体"/>
                <w:color w:val="000000"/>
                <w:sz w:val="21"/>
              </w:rPr>
              <w:t xml:space="preserve">    展望下半年，我们会更关注央行货币政策实操、政府债供给、权益市场的边际变化以及经济高质量发展进程中超预期修复等因素多重共振，感知经济温度。我们根据久期、品种和行业，兼顾收益及信用风险，适度把握债券的阶段性资本利得机会，后续会继续在风险可控的基础上力争获取更高的收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6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代客境外理财投资QDII</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41.23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41.23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金融衍生品</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权益类投资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0.76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0.76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11.48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31.72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报告期末本产品总资产未超过该产品净资产规模的200%，符合产品协议对本产品杠杆比例的要求。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兴银理财增盈稳享封闭式26号固收类理财产品2024年第二季度报告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4"/>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流动性风险是指产品在履行与金融负债有关的义务时遇到资金短缺的风险。本产品的流动性风险主要来自于若投资品种所处的交易市场不活跃，可能带来资产变现困难或产品持仓资产在市场出现剧烈波动的情况下难以以合理价格变现的风险。 为防范无法支付到期赎回款而产生的流动性风险，本理财产品管理人将合理安排所投资产期限，产品到期前完成所投资组合中相关资产变现，尽可能降低产品流动性风险，有效保障理财持有人利益。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4"/>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7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22诸暨国资02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192,166,498.36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22象山滨海10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109,237,049.39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22绍兴柯桥建设05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50,686,936.89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23乌经开建发01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50,563,482.79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4.98</w:t>
                        </w:r>
                      </w:p>
                    </w:tc>
                  </w:tr>
                </w:tbl>
                <w:p>
                  <w:pPr>
                    <w:pStyle w:val="4"/>
                  </w:pPr>
                </w:p>
              </w:tc>
            </w:tr>
            <w:tr>
              <w:tblPrEx>
                <w:tblCellMar>
                  <w:top w:w="0" w:type="dxa"/>
                  <w:left w:w="10" w:type="dxa"/>
                  <w:bottom w:w="0" w:type="dxa"/>
                  <w:right w:w="10" w:type="dxa"/>
                </w:tblCellMar>
              </w:tblPrEx>
              <w:trPr>
                <w:trHeight w:val="6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7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云南信托-金匠300号单一资金信托-水羊股份可转债收益权投资（湖南御家投资管理有限公司）</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38,766,782.40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兴业收益增强A（001257.OF）</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38,677,411.88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浦银安盛中债1-3年国开行债券指数证券投资基金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35,380,414.51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22宣城国资PPN003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31,062,418.52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华夏亚债中国A 001021.OF</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30,489,727.34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易方达信用债债券型证券投资基金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30,147,247.79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2.97</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云南信托-金匠300号单一资金信托-水羊股份可转债收益权投资（湖南御家投</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湖南御家投资管理有限公司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特定资产收益权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22象山滨海10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象山县滨海投资有限公司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22诸暨国资02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诸暨市国有资产经营有限公司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8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兴银理财增盈稳享封闭式26号固收类理财产品2024年第二季度报告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23乌经开建发01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乌鲁木齐经济技术开发区建发国有资本投资运</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23建德国资03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建德市国有资产经营有限公司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22绍兴柯桥建设05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绍兴市柯桥区建设集团有限公司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理财直接融资工具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8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23华润MTN004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23南京生物ABN001优先(科创票据)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23天辰工程MTN001(科创票据)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22海立MTN001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22昆山国创PPN001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23云建投CP001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22象山滨海10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22绍兴柯桥建设05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23乌经开建发01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23建德国资03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22溧水经开MTN002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23五凌2号ABN001优先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22诸暨国资02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兴银理财增盈稳享封闭式26号固收类理财产品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26.8966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嘉实基金兴银1号集合资产管理计划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2.5710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嘉实基金管理有限公司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兴银理财增盈稳享封闭式26号固收类理财产品2024年第二季度报告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兴业信托·兴享稳健睿郡2号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0.1233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 37 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0.4833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兴业收益增强A（001257.OF）</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4.9414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兴银理财增盈稳享封闭式26号固收类理财产品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7.2240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兴业嘉远债券型证券投资基金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1.4436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兴银理财增盈稳享封闭式26号固收类理财产品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0.1171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兴瀚资管-兴元18号集合资产管理计划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0.0170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051010100101440804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兴银理财增盈稳享封闭式26号固收类理财产品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49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bookmarkStart w:id="8" w:name="_GoBack"/>
      <w:bookmarkEnd w:id="8"/>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56B21D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2024-07-18T06:22:11Z</dcterms:created>
  <dc:creator>cib</dc:creator>
  <cp:lastModifiedBy>cib</cp:lastModifiedBy>
  <dcterms:modified xsi:type="dcterms:W3CDTF">2024-07-18T06:22:49Z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