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天天万利宝稳利1号净值型理财产品F款2024年第二季度报告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天天万利宝稳利1号净值型理财产品F款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天天万利宝稳利1号净值型理财产品F款2024年第二季度报告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天天万利宝稳利1号净值型理财产品F款2024年第二季度报告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天天万利宝稳利1号净值型理财产品F款</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9K218016</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Z7002020000010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6,540,032,775.57份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稳利恒盈F 12个月</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9K218016（适用【A】份额）</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6,540,032,775.57</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12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天天万利宝稳利1号净值型理财产品F款2024年第二季度报告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9K218016（适用【A】份额）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业绩比较基准（9K218016（适用【A】份额））：2.60%--3.90%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（2）天天万利宝稳利1号净值型理财产品F款成立于2018年09月12日，数据截止至2024年06月30日。过往业绩是由兴银理财有限责任公司计算并确认后所提供的数据。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9K218016</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1.03069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1.24179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6,740,766,439.34</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9K218016（适用【A】份额）</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1.03069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1.24179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6,740,766,439.34</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逄博先生，上海交通大学金融硕士，上海交通大学数学与应用数学学士，拥有6年以上债券投资交易经验。2018年加入兴业银行资产管理事业部，现任兴银理财固定收益投资经理，主要负责债券投资及固收产品投资管理工作。投资风格稳健，注重产品回撤控制，擅长灵活运用多种投资策略为产品捕捉收益机会，管理产品历史业绩表现优异。</w:t>
            </w:r>
          </w:p>
        </w:tc>
        <w:tc>
          <w:tcPr>
            <w:gridSpan w:val="4"/>
          </w:tcPr>
          <w:p>
            <w:pPr>
              <w:pStyle w:val="4"/>
            </w:pPr>
          </w:p>
        </w:tc>
        <w:tc>
          <w:p>
            <w:pPr>
              <w:pStyle w:val="4"/>
            </w:pPr>
          </w:p>
        </w:tc>
      </w:tr>
      <w:tr>
        <w:tblPrEx>
          <w:tblCellMar>
            <w:top w:w="0" w:type="dxa"/>
            <w:left w:w="10" w:type="dxa"/>
            <w:bottom w:w="0" w:type="dxa"/>
            <w:right w:w="10" w:type="dxa"/>
          </w:tblCellMar>
        </w:tblPrEx>
        <w:trPr>
          <w:trHeight w:val="1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天天万利宝稳利1号净值型理财产品F款2024年第二季度报告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天天万利宝稳利1号净值型理财产品F款2024年第二季度报告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25.98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25.98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0.76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权益类投资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61.15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62.60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9" w:name="_GoBack"/>
            <w:bookmarkEnd w:id="9"/>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0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华融资管同业借款20231215001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713,963,769.71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光大金租同业借款20240524007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400,312,132.20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昆仑金租同业借款20240510002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360,224,083.97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19中信银行永续债</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299,557,553.77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4.44</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天天万利宝稳利1号净值型理财产品F款2024年第二季度报告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20民生银行二级</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263,602,369.86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22南京银行永续债01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253,792,633.44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21民生银行永续债01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251,106,332.05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19工商银行永续债</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229,468,224.38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民生金租同业借款20231129001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200,168,221.51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20平安银行永续债01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184,504,732.13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2.74</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2024蚂蚁消金（载福2023-6）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重庆蚂蚁消费金融有限公司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信贷资产流转项目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2023蚂蚁消金（澄源2023-2）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重庆蚂蚁消费金融有限公司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信贷资产流转项目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2023蚂蚁消金（福楷2023-1）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重庆蚂蚁消费金融有限公司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信贷资产流转项目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航天科工金租同业借款20231030001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航天科工金融租赁有限公司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民生金租同业借款20231129001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民生金融租赁股份有限公司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昆仑金租同业借款20240510002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昆仑金融租赁有限责任公司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南银法巴同业借款20231117002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南银法巴消费金融有限公司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华融资管同业借款20231215001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中国中信金融资产管理股份有限公司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光大金租同业借款20240524007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光大金融租赁股份有限公司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7" w:name="JR_PAGE_ANCHOR_0_8"/>
            <w:bookmarkEnd w:id="7"/>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天天万利宝稳利1号净值型理财产品F款2024年第二季度报告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p>
            <w:pPr>
              <w:pStyle w:val="4"/>
            </w:pPr>
          </w:p>
        </w:tc>
      </w:tr>
      <w:tr>
        <w:tblPrEx>
          <w:tblCellMar>
            <w:top w:w="0" w:type="dxa"/>
            <w:left w:w="10" w:type="dxa"/>
            <w:bottom w:w="0" w:type="dxa"/>
            <w:right w:w="10" w:type="dxa"/>
          </w:tblCellMar>
        </w:tblPrEx>
        <w:trPr>
          <w:gridAfter w:val="4"/>
          <w:trHeight w:val="10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22镇江交通MTN005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23象屿G1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22武进经发MTN005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23五凌2号ABN001优先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23伊犁财通MTN002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23联发05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19中信银行永续债</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红塔证券股份有限公司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22金牛象屿ABN001优先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23莫干山MTN001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24象屿G1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19黔铁投MTN002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22盐城城南MTN002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22兴业资产MTN001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兴业银行股份有限公司、兴业资产管理有限公司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22临空港MTN001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22溧阳城建MTN003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22兴业资产MTN002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23兴信02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兴业国信资产管理有限公司</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trHeight w:val="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p>
            <w:pPr>
              <w:pStyle w:val="4"/>
            </w:pPr>
          </w:p>
        </w:tc>
      </w:tr>
      <w:tr>
        <w:tblPrEx>
          <w:tblCellMar>
            <w:top w:w="0" w:type="dxa"/>
            <w:left w:w="10" w:type="dxa"/>
            <w:bottom w:w="0" w:type="dxa"/>
            <w:right w:w="10" w:type="dxa"/>
          </w:tblCellMar>
        </w:tblPrEx>
        <w:trPr>
          <w:gridAfter w:val="4"/>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天天万利宝稳利1号净值型理财产品F款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151.5216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天天万利宝稳利1号净值型理财产品F款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47.9166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trHeight w:val="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4"/>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天天万利宝稳利1号净值型理财产品F款2024年第二季度报告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051010100100563968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兴业银行理财托管专户天天万利宝稳利1号F款</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9517"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015325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2024-07-18T03:41:37Z</dcterms:created>
  <dc:creator>wot_wanglinbo_zy</dc:creator>
  <cp:lastModifiedBy>wot_wanglinbo_zy</cp:lastModifiedBy>
  <dcterms:modified xsi:type="dcterms:W3CDTF">2024-07-18T03:43:45Z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