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wAfter w:w="300" w:type="dxa"/>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兴银理财添利天天利28号净值型理财产品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wAfter w:w="300" w:type="dxa"/>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wAfter w:w="300" w:type="dxa"/>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兴银理财添利天天利28号净值型理财产品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9TTL0280</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Z7002023000397</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13,308,890,714.49份</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wAfter w:w="300" w:type="dxa"/>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wAfter w:w="300" w:type="dxa"/>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1,797,916,302.63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1,423,367,836.66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854,318,531.93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284,684,828.27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3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108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132,105,171.63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添利天天利28号F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295,640,155.23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兴银添利天天利28号G</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23,364,372.35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兴银添利天天利28号H（私行专属）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89,096,192.22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兴银添利天天利28号I（贵宾专属）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130,359,247.27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185,451,344.45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兴银添利天天利28号K（私银）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470,650,334.91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兴银添利天天利28号L</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9TTL028L</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143,955,157.05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兴银添利天天利28号O</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9TTL028O</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3,630,518,206.47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兴银添利天天利28号P</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9TTL028P</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680,423,630.84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兴银添利天天利28号Q</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9TTL028Q</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404,797,947.81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兴银添利天天利28号R</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9TTL028R</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438,039,636.57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3,499,936.98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6,652,349.33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兴银理财添利天天利28号W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35,674,445.49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兴银添利天天利28号（中信对公专属）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9TTL028X</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1,471,329,192.89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兴银添利天天利28号（私银）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9TTL128G</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807,045,893.51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263"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12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9TTL028G</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9TTL028J</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9TTL028K</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9TTL028L</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9TTL028O</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9TTL028P</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9TTL028Q</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9TTL028R</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9TTL028X</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9TTL128G</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业绩比较基准（9TTL028A）：通知存款七天+浮动基数0%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业绩比较基准（9TTL028F）：通知存款七天+浮动基数0%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wAfter w:w="300" w:type="dxa"/>
          <w:trHeight w:val="337"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5" w:name="JR_PAGE_ANCHOR_0_6"/>
            <w:bookmarkEnd w:id="5"/>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237"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9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业绩比较基准（9TTL028G）：通知存款七天+浮动基数0%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业绩比较基准（9TTL028L）：通知存款七天+浮动基数0%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业绩比较基准（9TTL028O）：通知存款七天+浮动基数0%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业绩比较基准（9TTL028P）：通知存款七天+浮动基数0%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业绩比较基准（9TTL028Q）：通知存款七天+浮动基数0%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业绩比较基准（9TTL028R）：通知存款七天+浮动基数0%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业绩比较基准（9TTL028X）：通知存款七天+浮动基数0%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业绩比较基准（9TTL128G）：通知存款七天+浮动基数0%</w:t>
            </w:r>
          </w:p>
        </w:tc>
        <w:tc>
          <w:p>
            <w:pPr>
              <w:pStyle w:val="4"/>
            </w:pPr>
          </w:p>
        </w:tc>
      </w:tr>
      <w:tr>
        <w:tblPrEx>
          <w:tblCellMar>
            <w:top w:w="0" w:type="dxa"/>
            <w:left w:w="10" w:type="dxa"/>
            <w:bottom w:w="0" w:type="dxa"/>
            <w:right w:w="10" w:type="dxa"/>
          </w:tblCellMar>
        </w:tblPrEx>
        <w:trPr>
          <w:gridAfter w:val="6"/>
          <w:wAfter w:w="300" w:type="dxa"/>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（2）兴银理财添利天天利28号净值型理财产品成立于2023年06月02日，数据截止至2024年06月30日。过往业绩是由兴银理财有限责任公司计算并确认后所提供的数据。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wAfter w:w="300" w:type="dxa"/>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wAfter w:w="300" w:type="dxa"/>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1.8300%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13,308,890,714.49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1,797,916,302.63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1,423,367,836.66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854,318,531.93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284,684,828.27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132,105,171.63</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295,640,155.23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9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23,364,372.35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89,096,192.22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130,359,247.27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185,451,344.45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470,650,334.91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9TTL028L</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143,955,157.05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9TTL028O</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3,630,518,206.47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9TTL028P</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680,423,630.84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9TTL028Q</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404,797,947.81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9TTL028R</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438,039,636.57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3,499,936.98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6,652,349.33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0.4331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1.6100%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35,674,445.49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9TTL028X</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1,471,329,192.89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9TTL128G</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807,045,893.51</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杨懿女士，北京大学理学、经济学双学士、金融硕士，6年固定收益投资交易经验。2020年加入兴银理财，从事固定收益投资管理工作，管理总规模逾千亿，善于大资金的资产配置和流动性管理。现担任“兴业银行添利3号净值型理财产品”“兴业银行添利新私享净值型理财产品”“兴银理财添利天天利32号净值型理财产品”“兴银理财稳添利日盈1号日开固收类理财产品”投资经理。</w:t>
            </w:r>
          </w:p>
        </w:tc>
        <w:tc>
          <w:p>
            <w:pPr>
              <w:pStyle w:val="4"/>
            </w:pPr>
          </w:p>
        </w:tc>
      </w:tr>
      <w:tr>
        <w:tblPrEx>
          <w:tblCellMar>
            <w:top w:w="0" w:type="dxa"/>
            <w:left w:w="10" w:type="dxa"/>
            <w:bottom w:w="0" w:type="dxa"/>
            <w:right w:w="10" w:type="dxa"/>
          </w:tblCellMar>
        </w:tblPrEx>
        <w:trPr>
          <w:gridAfter w:val="4"/>
          <w:wAfter w:w="280" w:type="dxa"/>
          <w:trHeight w:val="602"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2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0" w:hRule="atLeast"/>
        </w:trPr>
        <w:tc>
          <w:p>
            <w:pPr>
              <w:pStyle w:val="4"/>
              <w:pageBreakBefore/>
            </w:pPr>
            <w:bookmarkStart w:id="7" w:name="JR_PAGE_ANCHOR_0_8"/>
            <w:bookmarkEnd w:id="7"/>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558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w:t>
            </w:r>
            <w:bookmarkStart w:id="11" w:name="_GoBack"/>
            <w:bookmarkEnd w:id="11"/>
            <w:r>
              <w:rPr>
                <w:rFonts w:ascii="宋体" w:hAnsi="宋体" w:eastAsia="宋体" w:cs="宋体"/>
                <w:color w:val="000000"/>
                <w:sz w:val="21"/>
              </w:rPr>
              <w:t>。在整体利率和信用利差偏低的情况下，维持底仓票息资产适度配置的前提下关注政府债发行、机构行为等的边际变化，把握配置机会。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26.37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27.43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wAfter w:w="280" w:type="dxa"/>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956" w:hRule="atLeast"/>
        </w:trPr>
        <w:tc>
          <w:p>
            <w:pPr>
              <w:pStyle w:val="4"/>
            </w:pPr>
          </w:p>
        </w:tc>
        <w:tc>
          <w:tcPr>
            <w:gridSpan w:val="14"/>
            <w:tcMar>
              <w:top w:w="0" w:type="dxa"/>
              <w:left w:w="0" w:type="dxa"/>
              <w:bottom w:w="0" w:type="dxa"/>
              <w:right w:w="0" w:type="dxa"/>
            </w:tcMar>
            <w:vAlign w:val="center"/>
          </w:tcPr>
          <w:p>
            <w:pPr>
              <w:jc w:val="left"/>
              <w:rPr>
                <w:rFonts w:ascii="宋体" w:hAnsi="宋体" w:eastAsia="宋体" w:cs="宋体"/>
                <w:b/>
                <w:color w:val="000000"/>
                <w:sz w:val="21"/>
              </w:rPr>
            </w:pPr>
            <w:r>
              <w:rPr>
                <w:rFonts w:hint="eastAsia" w:ascii="宋体" w:hAnsi="宋体" w:eastAsia="宋体" w:cs="宋体"/>
                <w:b w:val="0"/>
                <w:bCs/>
                <w:color w:val="000000"/>
                <w:sz w:val="20"/>
                <w:szCs w:val="20"/>
              </w:rPr>
              <w:t>注：报告期内，非主观因素导致产品投资于主体评级低于AAA的机构发行的单笔债券，与产品适用确认书约定之“投资于主体信用评级低于AAA的机构发行的金融工具，其中单一机构发行的金融工具占基金资产净值的比例合计不得超过2%”不符，截至报告期末已调整完毕。</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82"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1918"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wAfter w:w="280" w:type="dxa"/>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0" w:hRule="atLeast"/>
        </w:trPr>
        <w:tc>
          <w:p>
            <w:pPr>
              <w:pStyle w:val="4"/>
              <w:pageBreakBefore/>
            </w:pPr>
            <w:bookmarkStart w:id="8" w:name="JR_PAGE_ANCHOR_0_9"/>
            <w:bookmarkEnd w:id="8"/>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wAfter w:w="260" w:type="dxa"/>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1,951,661,111.07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682,195,753.93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24CSFD86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523,158,007.24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Z存放同业（线上）20240524015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501,034,444.36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24民生银行CD164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499,395,162.39</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24中国通用SCP001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301,223,295.07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24广州银行CD042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297,569,545.46</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24CSFD04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273,818,093.12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Z存放同业（线上）20240522016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200,433,333.20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Z存放同业（线上）20240522011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200,433,333.20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wAfter w:w="260" w:type="dxa"/>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wAfter w:w="260" w:type="dxa"/>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wAfter w:w="300" w:type="dxa"/>
          <w:trHeight w:val="0" w:hRule="atLeast"/>
        </w:trPr>
        <w:tc>
          <w:p>
            <w:pPr>
              <w:pStyle w:val="4"/>
              <w:pageBreakBefore/>
            </w:pPr>
            <w:bookmarkStart w:id="9" w:name="JR_PAGE_ANCHOR_0_10"/>
            <w:bookmarkEnd w:id="9"/>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wAfter w:w="300" w:type="dxa"/>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wAfter w:w="300" w:type="dxa"/>
          <w:trHeight w:val="8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24东裕3仲裕ABN001优先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24英特集团SCP001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21新静安MTN001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24厦国贸SCP006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24青岛地铁SCP001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24春风一方ABN002优先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23吉利SCP008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21杭金投MTN002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24邦鑫ABN002优先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24吉利SCP002(科创票据)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24南通沿海SCP003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23和悦ABN001优先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24东裕3伯裕ABN001优先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6"/>
          <w:wAfter w:w="300" w:type="dxa"/>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Z存放同业（线上）20240522011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授信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47.0927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115.5585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6.3976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3.8958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0.7395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wAfter w:w="300" w:type="dxa"/>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p>
            <w:pPr>
              <w:pStyle w:val="4"/>
            </w:pPr>
          </w:p>
        </w:tc>
      </w:tr>
      <w:tr>
        <w:tblPrEx>
          <w:tblCellMar>
            <w:top w:w="0" w:type="dxa"/>
            <w:left w:w="10" w:type="dxa"/>
            <w:bottom w:w="0" w:type="dxa"/>
            <w:right w:w="10" w:type="dxa"/>
          </w:tblCellMar>
        </w:tblPrEx>
        <w:trPr>
          <w:gridAfter w:val="6"/>
          <w:wAfter w:w="300" w:type="dxa"/>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10" w:name="JR_PAGE_ANCHOR_0_11"/>
            <w:bookmarkEnd w:id="10"/>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兴银理财添利天天利28号净值型理财产品2024年第二季度报告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051010100101630879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兴银理财添利天天利28号净值型理财产品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798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11</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800"/>
  <w:compat>
    <w:useFELayout/>
    <w:splitPgBreakAndParaMark/>
    <w:compatSetting w:name="compatibilityMode" w:uri="http://schemas.microsoft.com/office/word" w:val="12"/>
  </w:compat>
  <w:rsids>
    <w:rsidRoot w:val="00000000"/>
    <w:rsid w:val="34BA6BEB"/>
    <w:rsid w:val="399D3525"/>
    <w:rsid w:val="5D3B60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16</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2024-07-18T03:24:00Z</dcterms:created>
  <dc:creator>diwenjun1</dc:creator>
  <cp:lastModifiedBy>袁晓伟</cp:lastModifiedBy>
  <dcterms:modified xsi:type="dcterms:W3CDTF">2024-07-19T12:50:15Z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