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兴银理财增盈稳享封闭式32号固收类理财产品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兴银理财增盈稳享封闭式32号固收类理财产品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9K240320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Z7002022000251</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897,371,633.54份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丰利增盈稳享32号A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9K24032A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806,424,510.36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丰利增盈稳享32号C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9K24032C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90,947,123.18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9K24032A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9K24032C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业绩比较基准（9K24032A）：4.85%</w:t>
            </w:r>
            <w:r>
              <w:rPr>
                <w:rFonts w:ascii="宋体" w:hAnsi="宋体" w:eastAsia="宋体" w:cs="宋体"/>
                <w:color w:val="000000"/>
                <w:sz w:val="21"/>
              </w:rPr>
              <w:br w:type="textWrapping"/>
            </w:r>
            <w:r>
              <w:rPr>
                <w:rFonts w:ascii="宋体" w:hAnsi="宋体" w:eastAsia="宋体" w:cs="宋体"/>
                <w:color w:val="000000"/>
                <w:sz w:val="21"/>
              </w:rPr>
              <w:t>业绩比较基准（9K24032C）：4.65%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（2）兴银理财增盈稳享封闭式32号固收类理财产品成立于2022年09月28日，数据截止至2024年06月30日。过往业绩是由兴银理财有限责任公司计算并确认后所提供的数据。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9K240320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949,026,088.62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9K24032A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853,147,018.63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9K24032C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95,879,069.99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高翰昆先生，英国诺丁汉大学理学硕士，华东理工大学工科理学本科。拥有13年固收、权益投资交易经验，2020年7月加入兴银理财，任多策略团队投资经理。投资策略主要基于对经济运行周期及对监管当局货币及财政政策的研判，自上而下进行大类资产及板块配置。操作风格上积极主动，守正出奇。以配置思路为主，套利思路为辅。</w:t>
            </w:r>
          </w:p>
        </w:tc>
        <w:tc>
          <w:tcPr>
            <w:gridSpan w:val="4"/>
          </w:tcPr>
          <w:p>
            <w:pPr>
              <w:pStyle w:val="4"/>
            </w:pPr>
          </w:p>
        </w:tc>
        <w:tc>
          <w:p>
            <w:pPr>
              <w:pStyle w:val="4"/>
            </w:pPr>
          </w:p>
        </w:tc>
      </w:tr>
      <w:tr>
        <w:tblPrEx>
          <w:tblCellMar>
            <w:top w:w="0" w:type="dxa"/>
            <w:left w:w="10" w:type="dxa"/>
            <w:bottom w:w="0" w:type="dxa"/>
            <w:right w:w="10" w:type="dxa"/>
          </w:tblCellMar>
        </w:tblPrEx>
        <w:trPr>
          <w:trHeight w:val="37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9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2024年二季度，权益市场方面走出了一个倒V走势。受经济基本面及市场情绪影响，股市冲高后在年线附近遇阻力5月见顶后持续回调。本报告期内，本组合积极调整债券持仓，逢高逐步降低组合久期。此外对权益资产进行积极行业结构调整，并用指数中性策略替代部分权益仓位。展望2024年三季度，从历史角度看反弹概率极高，地产有企稳迹象，经济增速没有了基数效应后，刺激加码的概率大幅上升。政策有延后性，大概率年内能看到效果，整体有利权益市场。债市受到孱弱的经济及潜在的刺激加码影响，但受到汇率制约，大概率将承压震荡。本组合将继续坚持既有投资策略，积极主动管理好大类资产的配置策略并精细化选择类属资产。</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代客境外理财投资QDII</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8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171,724,450.27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18.09</w:t>
                        </w:r>
                      </w:p>
                    </w:tc>
                  </w:tr>
                </w:tbl>
                <w:p>
                  <w:pPr>
                    <w:pStyle w:val="4"/>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粤财信托·瑞丰70-2号单一资金信托（杭州分行温州市鹿城区国有控股集团有限公司项目）</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85,169,704.90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22洛阳发投01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75,797,707.38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国海证券海智丰803期保本固定收益凭证</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52,486,862.31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5.53</w:t>
                        </w:r>
                      </w:p>
                    </w:tc>
                  </w:tr>
                </w:tbl>
                <w:p>
                  <w:pPr>
                    <w:pStyle w:val="4"/>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云南信托-金匠301号单一资金信托-水羊股份可转债收益权投资（长沙汀汀企业管理咨询合伙企业（有限合伙））</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40,071,408.90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20广金01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21,127,697.81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22蛇口06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20,919,938.90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22顺德投资MTN001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20,695,050.93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21兴城01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20,522,012.63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20甘国投MTN002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20,441,883.29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云南信托-金匠301号单一资金信托-水羊股份可转债收益权投资（长沙汀汀企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长沙汀汀企业管理咨询合伙企业(有限合伙)</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粤财信托·瑞丰70-2号单一资金信托（杭州分行温州市鹿城区国有控股集团</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温州市鹿城区国有控股集团有限公司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国海证券海智丰803期保本固定收益凭证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国海证券股份有限公司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券商收益凭证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建德市国有资产经营有限公司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22洛阳发投01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洛阳城市发展投资集团有限公司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云南省能源投资集团有限公司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22顺德投资MTN001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20甘国投MTN002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22洛阳发投01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21陕有色MTN001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22中核MTN001B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兴银理财增盈稳享封闭式32号固收类理财产品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14.4401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兴瀚资管-兴添翼35号集合资产管理计划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兴业期货-兴睿1号集合资产管理计划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0.3488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嘉实基金兴银1号集合资产管理计划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6.8531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兴瀚资管兴添翼22号集合资产管理计划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兴银理财增盈稳享封闭式32号固收类理财产品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6.7549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兴业期货-兴合2号集合资产管理计划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0.8061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兴银理财增盈稳享封闭式32号固收类理财产品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兴银理财增盈稳享封闭式32号固收类理财产品2024年第二季度报告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兴业期货-兴合4号集合资产管理计划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0.1432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051010100101441468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兴银理财增盈稳享封闭式32号固收类理财产品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79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bookmarkStart w:id="8" w:name="_GoBack"/>
      <w:bookmarkEnd w:id="8"/>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3FF0C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2024-07-18T06:24:34Z</dcterms:created>
  <dc:creator>cib</dc:creator>
  <cp:lastModifiedBy>cib</cp:lastModifiedBy>
  <dcterms:modified xsi:type="dcterms:W3CDTF">2024-07-18T06:25:39Z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