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7" w:name="_GoBack"/>
            <w:bookmarkEnd w:id="7"/>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兴银理财增盈稳享封闭式46号固收类理财产品2024年第二季度报告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兴银理财增盈稳享封闭式46号固收类理财产品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兴银理财增盈稳享封闭式46号固收类理财产品2024年第二季度报告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兴银理财增盈稳享封闭式46号固收类理财产品2024年第二季度报告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兴银理财增盈稳享封闭式46号固收类理财产品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9K240460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Z7002022000265</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64,570,269.96份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丰利增盈稳享46号（兴飞跃款）A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9K24046A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47,767,230.96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丰利增盈稳享46号C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9K24046C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3,646,175.00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丰利增盈稳享46号D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9K24046D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13,156,864.00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85"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兴银理财增盈稳享封闭式46号固收类理财产品2024年第二季度报告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9K24046A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9K24046C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9K24046D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业绩比较基准（9K24046A）：4.75%</w:t>
            </w:r>
            <w:r>
              <w:rPr>
                <w:rFonts w:ascii="宋体" w:hAnsi="宋体" w:eastAsia="宋体" w:cs="宋体"/>
                <w:color w:val="000000"/>
                <w:sz w:val="21"/>
              </w:rPr>
              <w:br w:type="textWrapping"/>
            </w:r>
            <w:r>
              <w:rPr>
                <w:rFonts w:ascii="宋体" w:hAnsi="宋体" w:eastAsia="宋体" w:cs="宋体"/>
                <w:color w:val="000000"/>
                <w:sz w:val="21"/>
              </w:rPr>
              <w:t>业绩比较基准（9K24046C）：4.55%</w:t>
            </w:r>
            <w:r>
              <w:rPr>
                <w:rFonts w:ascii="宋体" w:hAnsi="宋体" w:eastAsia="宋体" w:cs="宋体"/>
                <w:color w:val="000000"/>
                <w:sz w:val="21"/>
              </w:rPr>
              <w:br w:type="textWrapping"/>
            </w:r>
            <w:r>
              <w:rPr>
                <w:rFonts w:ascii="宋体" w:hAnsi="宋体" w:eastAsia="宋体" w:cs="宋体"/>
                <w:color w:val="000000"/>
                <w:sz w:val="21"/>
              </w:rPr>
              <w:t>业绩比较基准（9K24046D）：4.75%</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（2）兴银理财增盈稳享封闭式46号固收类理财产品成立于2022年12月29日，数据截止至2024年06月30日。过往业绩是由兴银理财有限责任公司计算并确认后所提供的数据。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9K240460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67,284,062.66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9K24046A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49,783,260.47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9K24046C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1.03908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1.03908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3,788,649.34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9K24046D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13,712,152.85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702"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8"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兴银理财增盈稳享封闭式46号固收类理财产品2024年第二季度报告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姜锡峰先生，上海财经大学管理学硕士，2020年加入兴银理财，金融从业14年，曾历任长信基金基金经理、浦银安盛基金基金经理助理、湘财证券债券研究员，现任兴银理财多资产部投资经理。</w:t>
            </w:r>
            <w:r>
              <w:rPr>
                <w:rFonts w:ascii="宋体" w:hAnsi="宋体" w:eastAsia="宋体" w:cs="宋体"/>
                <w:color w:val="000000"/>
                <w:sz w:val="21"/>
              </w:rPr>
              <w:br w:type="textWrapping"/>
            </w:r>
            <w:r>
              <w:rPr>
                <w:rFonts w:ascii="宋体" w:hAnsi="宋体" w:eastAsia="宋体" w:cs="宋体"/>
                <w:color w:val="000000"/>
                <w:sz w:val="21"/>
              </w:rPr>
              <w:t>投资风格自上而下把握宏观趋势，进行大类资产配置。含权类资产精选长期优秀稳健的绝对收益产品，同时利用风格显著的主动基金、行业基金、指数基金等表达市场观点。固收类资产侧重久期摆动。</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7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2024年二季度，国内经济增速继续回落，通胀下行。政策方面，货币政策总体宽松，但央行未采取降准或降息等操作。债市方面，债券市场收益率总体下行。本报告期内，债券仓位持平。展望未来，预计经济增速在低位徘徊，何时企稳有较大不确定性。从大类资产层面看，基本面对固收类资产利好，但固收类资产整体较贵。下阶段，本组合将继续维持中性略短的组合久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43.65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兴银理财增盈稳享封闭式46号固收类理财产品2024年第二季度报告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4"/>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云南信托-金匠315号单一资金信托-水羊股份可转债收益权投资（戴跃锋）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20,037,464.40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29.78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21苏城01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4,664,819.28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23中国银行CD032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3,994,189.05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22邯郸城投PPN001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3,103,175.61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22蓉产K2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3,092,258.88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24徐高新集CP001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3,032,807.88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光大保德信增利收益债券型证券投资基金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3,016,473.88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23肥西城乡PPN001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2,116,873.15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23金阳新城MTN001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2,103,155.37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21越租02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2,056,393.61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云南信托-金匠315号单一资金信托-水羊股份可转债收益权投资（戴跃锋）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戴跃锋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特定资产收益权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泰康-元康2号资产支持计划第7期优先A2级受益凭证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深圳前海微众银行股份有限公司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保险资产支持计划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泰康-元康2号资产支持计划第9期优先A2级受益凭证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深圳前海微众银行股份有限公司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保险资产支持计划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7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兴银理财增盈稳享封闭式46号固收类理财产品2024年第二季度报告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23肥西城乡PPN001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兴银理财增盈稳享封闭式46号固收类理财产品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兴业信托·兴享稳健睿郡3号证券投资集合资金信托计划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兴瀚资管-兴添翼21号集合资产管理计划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0.0146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兴业信托·兴享稳健睿郡2号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兴业收益增强C（001258.OF）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0.1308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兴银理财增盈稳享封闭式46号固收类理财产品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0.4799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051010100101457660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兴银理财增盈稳享封闭式46号固收类理财产品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972"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0C133A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2024-07-17T12:57:36Z</dcterms:created>
  <dc:creator>hansonghua</dc:creator>
  <cp:lastModifiedBy>hansonghua</cp:lastModifiedBy>
  <dcterms:modified xsi:type="dcterms:W3CDTF">2024-07-17T12:58:21Z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