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兴银理财增盈稳享封闭式28号固收类理财产品2024年第二季度报告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兴银理财增盈稳享封闭式28号固收类理财产品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兴银理财增盈稳享封闭式28号固收类理财产品2024年第二季度报告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兴银理财增盈稳享封闭式28号固收类理财产品2024年第二季度报告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兴银理财增盈稳享封闭式28号固收类理财产品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9K240280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Z7002022000247</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2,091,608,747.26份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增盈稳享封闭式28号A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9K24028A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1,955,431,763.43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增盈稳享封闭式28号C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9K24028C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136,176,983.83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兴银理财增盈稳享封闭式28号固收类理财产品2024年第二季度报告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9K24028A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9K24028C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业绩比较基准（9K24028A）：4.90%</w:t>
            </w:r>
            <w:r>
              <w:rPr>
                <w:rFonts w:ascii="宋体" w:hAnsi="宋体" w:eastAsia="宋体" w:cs="宋体"/>
                <w:color w:val="000000"/>
                <w:sz w:val="21"/>
              </w:rPr>
              <w:br w:type="textWrapping"/>
            </w:r>
            <w:r>
              <w:rPr>
                <w:rFonts w:ascii="宋体" w:hAnsi="宋体" w:eastAsia="宋体" w:cs="宋体"/>
                <w:color w:val="000000"/>
                <w:sz w:val="21"/>
              </w:rPr>
              <w:t>业绩比较基准（9K24028C）：4.70%</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（2）兴银理财增盈稳享封闭式28号固收类理财产品成立于2022年08月26日，数据截止至2024年06月30日。过往业绩是由兴银理财有限责任公司计算并确认后所提供的数据。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9K240280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1.05751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1.05751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2,211,898,462.08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9K24028A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1.05776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1.05776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2,068,386,236.99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9K24028C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1.05387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1.05387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143,512,225.09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严泓先生，复旦大学数学系本科+经济学硕士，金融投资专业领域从业16年，具备丰富的多资产领域投资经验和广阔的全球宏观对冲视野。历任国内大型金融机构和顶尖私募对冲基金投资经理、合伙人，独立管理账户和产品超过14年，业绩表现优异。投资理念坚持自上而下和自下而上结合，把握宏观趋势结合微观结构，善于利于基本面和量化策略进行大类资产配置，注重绝对收益。</w:t>
            </w:r>
          </w:p>
        </w:tc>
        <w:tc>
          <w:tcPr>
            <w:gridSpan w:val="4"/>
          </w:tcPr>
          <w:p>
            <w:pPr>
              <w:pStyle w:val="4"/>
            </w:pPr>
          </w:p>
        </w:tc>
        <w:tc>
          <w:p>
            <w:pPr>
              <w:pStyle w:val="4"/>
            </w:pPr>
          </w:p>
        </w:tc>
      </w:tr>
      <w:tr>
        <w:tblPrEx>
          <w:tblCellMar>
            <w:top w:w="0" w:type="dxa"/>
            <w:left w:w="10" w:type="dxa"/>
            <w:bottom w:w="0" w:type="dxa"/>
            <w:right w:w="10" w:type="dxa"/>
          </w:tblCellMar>
        </w:tblPrEx>
        <w:trPr>
          <w:trHeight w:val="4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45"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兴银理财增盈稳享封闭式28号固收类理财产品2024年第二季度报告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回顾2024年二季度，权益市场整体呈现震荡下跌走势，从基本面来看，相较一季度无明显变化，预期整体上仍然较弱。债券市场资金面宽松，机构配置力量强，则延续强势走势。本报告期内，本组合严格执行产品配置策略。</w:t>
            </w:r>
            <w:r>
              <w:rPr>
                <w:rFonts w:ascii="宋体" w:hAnsi="宋体" w:eastAsia="宋体" w:cs="宋体"/>
                <w:color w:val="000000"/>
                <w:sz w:val="21"/>
              </w:rPr>
              <w:br w:type="textWrapping"/>
            </w:r>
            <w:r>
              <w:rPr>
                <w:rFonts w:ascii="宋体" w:hAnsi="宋体" w:eastAsia="宋体" w:cs="宋体"/>
                <w:color w:val="000000"/>
                <w:sz w:val="21"/>
              </w:rPr>
              <w:t xml:space="preserve">    展望2024年三季度，经济修复的压力仍然较大。权益市场而言，目前整体估值较低，相比债券而言，相对性价比仍然存在，但呈现出胜率低赔率高的特征。债券市场目前绝对收益和利差均处于较低位置，后续多空博弈预计会增强，较大概率呈现震荡行情。组合操作层面，二季度会持续观察经济基本面的变化，积极主动进行资产的配置。三季度本组合将坚持既有配置策略，并根据市场变化，积极主动进行资产优化配置。</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7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代客境外理财投资QDII</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68.86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2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兴银理财增盈稳享封闭式28号固收类理财产品2024年第二季度报告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4"/>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7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22诸暨国资02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242,736,629.51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21首开MTN003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92,757,973.32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粤财信托·瑞丰52-3号单一资金信托</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90,160,872.50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21山高01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72,624,059.31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3.28</w:t>
                        </w:r>
                      </w:p>
                    </w:tc>
                  </w:tr>
                </w:tbl>
                <w:p>
                  <w:pPr>
                    <w:pStyle w:val="4"/>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云南信托-金匠311号单一资金信托-水羊股份可转债收益权投资（湖南御家投资管理有限公司）</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70,131,125.60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69,738,013.29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23乌经开建发01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55,619,831.07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22上海能科ABN001优先A</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52,611,976.36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23洪轨02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52,034,221.92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22徐工01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51,670,226.14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云南信托-金匠311号单一资金信托-水羊股份可转债收益权投资（湖南御家投</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湖南御家投资管理有限公司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特定资产收益权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粤财信托·瑞丰52-3号单一资金信托</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青岛海诺投资发展有限公司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信托贷款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22诸暨国资02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诸暨市国有资产经营有限公司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兴银理财增盈稳享封闭式28号固收类理财产品2024年第二季度报告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23乌经开建发01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乌鲁木齐经济技术开发区建发国有资本投资运</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22武夷建设02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南平市武夷新区建设发展有限公司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建德市国有资产经营有限公司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10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23台商02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23中建八局MTN001(科创票据)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23鄂文旅MTN002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23豫资保障ABN001优先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23奉化投资PPN002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22东兴投资ABN001优先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21青岛海控PPN001(权益出资)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24新华人寿资本补充债01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23南京生物ABN001优先(科创票据)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23华能大庆ABN001优先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22珠海华发ABN001优先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23天辰工程MTN001(科创票据)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23乌经开建发01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24江南农商行二级资本债01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22诸暨国资02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22武夷建设02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兴银理财增盈稳享封闭式28号固收类理财产品2024年第二季度报告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23华润MTN004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23青岛西海MTN001B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23宁德交投MTN001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24闽金K1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福建省金融投资有限责任公司、华福证券有限责任公司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22中国信达债01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4"/>
          <w:trHeight w:val="10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兴银基金-创鑫27号集合资产管理计划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兴银基金管理有限责任公司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兴瀚资管-兴添翼39号集合资产管理计划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0.2466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兴瀚资管兴添翼32号集合资产管理计划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兴瀚资管兴添翼33号集合资产管理计划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0.0255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兴业信托-兴享稳盈2号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兴瀚资管-兴添翼21号集合资产管理计划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兴银理财增盈稳享封闭式28号固收类理财产品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42.6293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兴瀚资管兴添翼36号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兴业信托·兴享稳健睿郡2号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0.2466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兴业收益增强C（001258.OF）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1.3106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兴业期货-兴耘1号集合资产管理计划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兴业期货有限公司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兴业中证500交易型开放式指数证券投资基金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兴银理财增盈稳享封闭式28号固收类理财产品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15.7009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兴银理财增盈稳享封闭式28号固收类理财产品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兴瀚资管-兴元18号集合资产管理计划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0.2251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4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兴银理财增盈稳享封闭式28号固收类理财产品2024年第二季度报告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051010100101441077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兴银理财增盈稳享封闭式28号固收类理财产品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93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bl>
    <w:p>
      <w:bookmarkStart w:id="9" w:name="_GoBack"/>
      <w:bookmarkEnd w:id="9"/>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7F6F66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2024-07-18T06:22:53Z</dcterms:created>
  <dc:creator>cib</dc:creator>
  <cp:lastModifiedBy>cib</cp:lastModifiedBy>
  <dcterms:modified xsi:type="dcterms:W3CDTF">2024-07-18T06:23:36Z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